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adjustRightInd w:val="0"/>
        <w:snapToGrid w:val="0"/>
        <w:spacing w:line="420" w:lineRule="exact"/>
        <w:ind w:firstLine="540" w:firstLineChars="15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佛山市三水区教育投资管理有限公司</w:t>
      </w:r>
      <w:r>
        <w:rPr>
          <w:rFonts w:hint="eastAsia" w:ascii="方正小标宋_GBK" w:hAnsi="黑体" w:eastAsia="方正小标宋_GBK" w:cs="黑体"/>
          <w:sz w:val="36"/>
          <w:szCs w:val="36"/>
          <w:lang w:val="en-US" w:eastAsia="zh-CN"/>
        </w:rPr>
        <w:t>2023年</w:t>
      </w:r>
      <w:bookmarkStart w:id="0" w:name="_GoBack"/>
      <w:bookmarkEnd w:id="0"/>
      <w:r>
        <w:rPr>
          <w:rFonts w:hint="eastAsia" w:ascii="方正小标宋_GBK" w:hAnsi="黑体" w:eastAsia="方正小标宋_GBK" w:cs="黑体"/>
          <w:sz w:val="36"/>
          <w:szCs w:val="36"/>
        </w:rPr>
        <w:t>公开招聘岗位表</w:t>
      </w:r>
    </w:p>
    <w:tbl>
      <w:tblPr>
        <w:tblStyle w:val="5"/>
        <w:tblpPr w:leftFromText="180" w:rightFromText="180" w:vertAnchor="text" w:horzAnchor="margin" w:tblpXSpec="center" w:tblpY="158"/>
        <w:tblW w:w="141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3"/>
        <w:gridCol w:w="491"/>
        <w:gridCol w:w="596"/>
        <w:gridCol w:w="834"/>
        <w:gridCol w:w="953"/>
        <w:gridCol w:w="596"/>
        <w:gridCol w:w="357"/>
        <w:gridCol w:w="358"/>
        <w:gridCol w:w="3573"/>
        <w:gridCol w:w="3938"/>
        <w:gridCol w:w="595"/>
        <w:gridCol w:w="596"/>
        <w:gridCol w:w="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643" w:type="dxa"/>
            <w:vMerge w:val="restart"/>
            <w:vAlign w:val="center"/>
          </w:tcPr>
          <w:p>
            <w:pPr>
              <w:widowControl w:val="0"/>
              <w:adjustRightInd w:val="0"/>
              <w:snapToGrid w:val="0"/>
              <w:spacing w:line="220" w:lineRule="exact"/>
              <w:jc w:val="center"/>
              <w:rPr>
                <w:rFonts w:hint="eastAsia" w:ascii="黑体" w:hAnsi="黑体" w:eastAsia="黑体" w:cs="黑体"/>
                <w:bCs/>
                <w:szCs w:val="21"/>
                <w:lang w:eastAsia="zh-CN"/>
              </w:rPr>
            </w:pPr>
            <w:r>
              <w:rPr>
                <w:rFonts w:hint="eastAsia" w:ascii="黑体" w:hAnsi="黑体" w:eastAsia="黑体" w:cs="黑体"/>
                <w:bCs/>
                <w:szCs w:val="21"/>
                <w:lang w:eastAsia="zh-CN"/>
              </w:rPr>
              <w:t>招聘企业</w:t>
            </w:r>
          </w:p>
        </w:tc>
        <w:tc>
          <w:tcPr>
            <w:tcW w:w="491" w:type="dxa"/>
            <w:vMerge w:val="restart"/>
            <w:vAlign w:val="center"/>
          </w:tcPr>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招聘岗位</w:t>
            </w:r>
          </w:p>
        </w:tc>
        <w:tc>
          <w:tcPr>
            <w:tcW w:w="596" w:type="dxa"/>
            <w:vMerge w:val="restart"/>
            <w:vAlign w:val="center"/>
          </w:tcPr>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招聘人数</w:t>
            </w:r>
          </w:p>
        </w:tc>
        <w:tc>
          <w:tcPr>
            <w:tcW w:w="1787" w:type="dxa"/>
            <w:gridSpan w:val="2"/>
            <w:vAlign w:val="center"/>
          </w:tcPr>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专业</w:t>
            </w:r>
          </w:p>
        </w:tc>
        <w:tc>
          <w:tcPr>
            <w:tcW w:w="596" w:type="dxa"/>
            <w:vMerge w:val="restart"/>
            <w:vAlign w:val="center"/>
          </w:tcPr>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学历</w:t>
            </w:r>
          </w:p>
        </w:tc>
        <w:tc>
          <w:tcPr>
            <w:tcW w:w="357" w:type="dxa"/>
            <w:vMerge w:val="restart"/>
            <w:vAlign w:val="center"/>
          </w:tcPr>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学位</w:t>
            </w:r>
          </w:p>
        </w:tc>
        <w:tc>
          <w:tcPr>
            <w:tcW w:w="358" w:type="dxa"/>
            <w:vMerge w:val="restart"/>
            <w:vAlign w:val="center"/>
          </w:tcPr>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年龄</w:t>
            </w:r>
          </w:p>
        </w:tc>
        <w:tc>
          <w:tcPr>
            <w:tcW w:w="3573" w:type="dxa"/>
            <w:vMerge w:val="restart"/>
            <w:vAlign w:val="center"/>
          </w:tcPr>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岗位职责</w:t>
            </w:r>
          </w:p>
        </w:tc>
        <w:tc>
          <w:tcPr>
            <w:tcW w:w="3938" w:type="dxa"/>
            <w:vMerge w:val="restart"/>
            <w:vAlign w:val="center"/>
          </w:tcPr>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招聘要求</w:t>
            </w:r>
          </w:p>
        </w:tc>
        <w:tc>
          <w:tcPr>
            <w:tcW w:w="595" w:type="dxa"/>
            <w:vMerge w:val="restart"/>
            <w:vAlign w:val="center"/>
          </w:tcPr>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招考对象</w:t>
            </w:r>
          </w:p>
        </w:tc>
        <w:tc>
          <w:tcPr>
            <w:tcW w:w="596" w:type="dxa"/>
            <w:vMerge w:val="restart"/>
            <w:vAlign w:val="center"/>
          </w:tcPr>
          <w:p>
            <w:pPr>
              <w:widowControl w:val="0"/>
              <w:adjustRightInd w:val="0"/>
              <w:snapToGrid w:val="0"/>
              <w:spacing w:line="220" w:lineRule="exact"/>
              <w:ind w:firstLine="210" w:firstLineChars="100"/>
              <w:jc w:val="center"/>
              <w:rPr>
                <w:rFonts w:hint="eastAsia" w:ascii="黑体" w:hAnsi="黑体" w:eastAsia="黑体" w:cs="黑体"/>
                <w:bCs/>
                <w:szCs w:val="21"/>
              </w:rPr>
            </w:pPr>
          </w:p>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年薪</w:t>
            </w:r>
          </w:p>
          <w:p>
            <w:pPr>
              <w:widowControl w:val="0"/>
              <w:adjustRightInd w:val="0"/>
              <w:snapToGrid w:val="0"/>
              <w:spacing w:line="220" w:lineRule="exact"/>
              <w:jc w:val="center"/>
              <w:rPr>
                <w:rFonts w:hint="eastAsia" w:ascii="黑体" w:hAnsi="黑体" w:eastAsia="黑体" w:cs="黑体"/>
                <w:bCs/>
                <w:szCs w:val="21"/>
              </w:rPr>
            </w:pPr>
          </w:p>
        </w:tc>
        <w:tc>
          <w:tcPr>
            <w:tcW w:w="596" w:type="dxa"/>
            <w:vMerge w:val="restart"/>
            <w:vAlign w:val="center"/>
          </w:tcPr>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福利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trPr>
        <w:tc>
          <w:tcPr>
            <w:tcW w:w="643" w:type="dxa"/>
            <w:vMerge w:val="continue"/>
            <w:vAlign w:val="center"/>
          </w:tcPr>
          <w:p>
            <w:pPr>
              <w:widowControl w:val="0"/>
              <w:adjustRightInd w:val="0"/>
              <w:snapToGrid w:val="0"/>
              <w:spacing w:line="220" w:lineRule="exact"/>
              <w:jc w:val="center"/>
              <w:rPr>
                <w:rFonts w:hint="eastAsia" w:ascii="黑体" w:hAnsi="黑体" w:eastAsia="黑体" w:cs="黑体"/>
                <w:bCs/>
                <w:sz w:val="24"/>
                <w:szCs w:val="24"/>
              </w:rPr>
            </w:pPr>
          </w:p>
        </w:tc>
        <w:tc>
          <w:tcPr>
            <w:tcW w:w="491" w:type="dxa"/>
            <w:vMerge w:val="continue"/>
            <w:vAlign w:val="center"/>
          </w:tcPr>
          <w:p>
            <w:pPr>
              <w:widowControl w:val="0"/>
              <w:adjustRightInd w:val="0"/>
              <w:snapToGrid w:val="0"/>
              <w:spacing w:line="220" w:lineRule="exact"/>
              <w:jc w:val="center"/>
              <w:rPr>
                <w:rFonts w:hint="eastAsia" w:ascii="黑体" w:hAnsi="黑体" w:eastAsia="黑体" w:cs="黑体"/>
                <w:bCs/>
                <w:sz w:val="24"/>
                <w:szCs w:val="24"/>
              </w:rPr>
            </w:pPr>
          </w:p>
        </w:tc>
        <w:tc>
          <w:tcPr>
            <w:tcW w:w="596" w:type="dxa"/>
            <w:vMerge w:val="continue"/>
            <w:vAlign w:val="center"/>
          </w:tcPr>
          <w:p>
            <w:pPr>
              <w:widowControl w:val="0"/>
              <w:adjustRightInd w:val="0"/>
              <w:snapToGrid w:val="0"/>
              <w:spacing w:line="220" w:lineRule="exact"/>
              <w:jc w:val="center"/>
              <w:rPr>
                <w:rFonts w:hint="eastAsia" w:ascii="黑体" w:hAnsi="黑体" w:eastAsia="黑体" w:cs="黑体"/>
                <w:bCs/>
                <w:sz w:val="24"/>
                <w:szCs w:val="24"/>
              </w:rPr>
            </w:pPr>
          </w:p>
        </w:tc>
        <w:tc>
          <w:tcPr>
            <w:tcW w:w="834" w:type="dxa"/>
            <w:vAlign w:val="center"/>
          </w:tcPr>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研究生</w:t>
            </w:r>
          </w:p>
        </w:tc>
        <w:tc>
          <w:tcPr>
            <w:tcW w:w="953" w:type="dxa"/>
            <w:vAlign w:val="center"/>
          </w:tcPr>
          <w:p>
            <w:pPr>
              <w:widowControl w:val="0"/>
              <w:adjustRightInd w:val="0"/>
              <w:snapToGrid w:val="0"/>
              <w:spacing w:line="220" w:lineRule="exact"/>
              <w:jc w:val="center"/>
              <w:rPr>
                <w:rFonts w:hint="eastAsia" w:ascii="黑体" w:hAnsi="黑体" w:eastAsia="黑体" w:cs="黑体"/>
                <w:bCs/>
                <w:szCs w:val="21"/>
              </w:rPr>
            </w:pPr>
            <w:r>
              <w:rPr>
                <w:rFonts w:hint="eastAsia" w:ascii="黑体" w:hAnsi="黑体" w:eastAsia="黑体" w:cs="黑体"/>
                <w:bCs/>
                <w:szCs w:val="21"/>
              </w:rPr>
              <w:t>本科</w:t>
            </w:r>
          </w:p>
        </w:tc>
        <w:tc>
          <w:tcPr>
            <w:tcW w:w="596" w:type="dxa"/>
            <w:vMerge w:val="continue"/>
            <w:vAlign w:val="center"/>
          </w:tcPr>
          <w:p>
            <w:pPr>
              <w:widowControl w:val="0"/>
              <w:adjustRightInd w:val="0"/>
              <w:snapToGrid w:val="0"/>
              <w:spacing w:line="220" w:lineRule="exact"/>
              <w:jc w:val="center"/>
              <w:rPr>
                <w:rFonts w:hint="eastAsia" w:ascii="黑体" w:hAnsi="黑体" w:eastAsia="黑体" w:cs="黑体"/>
                <w:bCs/>
                <w:sz w:val="24"/>
                <w:szCs w:val="24"/>
              </w:rPr>
            </w:pPr>
          </w:p>
        </w:tc>
        <w:tc>
          <w:tcPr>
            <w:tcW w:w="357" w:type="dxa"/>
            <w:vMerge w:val="continue"/>
            <w:vAlign w:val="center"/>
          </w:tcPr>
          <w:p>
            <w:pPr>
              <w:widowControl w:val="0"/>
              <w:adjustRightInd w:val="0"/>
              <w:snapToGrid w:val="0"/>
              <w:spacing w:line="220" w:lineRule="exact"/>
              <w:jc w:val="center"/>
              <w:rPr>
                <w:rFonts w:hint="eastAsia" w:ascii="黑体" w:hAnsi="黑体" w:eastAsia="黑体" w:cs="黑体"/>
                <w:bCs/>
                <w:sz w:val="24"/>
                <w:szCs w:val="24"/>
              </w:rPr>
            </w:pPr>
          </w:p>
        </w:tc>
        <w:tc>
          <w:tcPr>
            <w:tcW w:w="358" w:type="dxa"/>
            <w:vMerge w:val="continue"/>
            <w:vAlign w:val="center"/>
          </w:tcPr>
          <w:p>
            <w:pPr>
              <w:widowControl w:val="0"/>
              <w:adjustRightInd w:val="0"/>
              <w:snapToGrid w:val="0"/>
              <w:spacing w:line="220" w:lineRule="exact"/>
              <w:jc w:val="center"/>
              <w:rPr>
                <w:rFonts w:hint="eastAsia" w:ascii="黑体" w:hAnsi="黑体" w:eastAsia="黑体" w:cs="黑体"/>
                <w:bCs/>
                <w:sz w:val="24"/>
                <w:szCs w:val="24"/>
              </w:rPr>
            </w:pPr>
          </w:p>
        </w:tc>
        <w:tc>
          <w:tcPr>
            <w:tcW w:w="3573" w:type="dxa"/>
            <w:vMerge w:val="continue"/>
            <w:vAlign w:val="center"/>
          </w:tcPr>
          <w:p>
            <w:pPr>
              <w:widowControl w:val="0"/>
              <w:adjustRightInd w:val="0"/>
              <w:snapToGrid w:val="0"/>
              <w:spacing w:line="220" w:lineRule="exact"/>
              <w:jc w:val="center"/>
              <w:rPr>
                <w:rFonts w:hint="eastAsia" w:ascii="黑体" w:hAnsi="黑体" w:eastAsia="黑体" w:cs="黑体"/>
                <w:bCs/>
                <w:sz w:val="24"/>
                <w:szCs w:val="24"/>
              </w:rPr>
            </w:pPr>
          </w:p>
        </w:tc>
        <w:tc>
          <w:tcPr>
            <w:tcW w:w="3938" w:type="dxa"/>
            <w:vMerge w:val="continue"/>
            <w:vAlign w:val="center"/>
          </w:tcPr>
          <w:p>
            <w:pPr>
              <w:widowControl w:val="0"/>
              <w:adjustRightInd w:val="0"/>
              <w:snapToGrid w:val="0"/>
              <w:spacing w:line="220" w:lineRule="exact"/>
              <w:jc w:val="center"/>
              <w:rPr>
                <w:rFonts w:hint="eastAsia" w:ascii="黑体" w:hAnsi="黑体" w:eastAsia="黑体" w:cs="黑体"/>
                <w:bCs/>
                <w:sz w:val="24"/>
                <w:szCs w:val="24"/>
              </w:rPr>
            </w:pPr>
          </w:p>
        </w:tc>
        <w:tc>
          <w:tcPr>
            <w:tcW w:w="595" w:type="dxa"/>
            <w:vMerge w:val="continue"/>
            <w:vAlign w:val="center"/>
          </w:tcPr>
          <w:p>
            <w:pPr>
              <w:widowControl w:val="0"/>
              <w:adjustRightInd w:val="0"/>
              <w:snapToGrid w:val="0"/>
              <w:spacing w:line="220" w:lineRule="exact"/>
              <w:jc w:val="center"/>
              <w:rPr>
                <w:rFonts w:hint="eastAsia" w:ascii="黑体" w:hAnsi="黑体" w:eastAsia="黑体" w:cs="黑体"/>
                <w:bCs/>
                <w:sz w:val="24"/>
                <w:szCs w:val="24"/>
              </w:rPr>
            </w:pPr>
          </w:p>
        </w:tc>
        <w:tc>
          <w:tcPr>
            <w:tcW w:w="596" w:type="dxa"/>
            <w:vMerge w:val="continue"/>
            <w:vAlign w:val="center"/>
          </w:tcPr>
          <w:p>
            <w:pPr>
              <w:widowControl w:val="0"/>
              <w:adjustRightInd w:val="0"/>
              <w:snapToGrid w:val="0"/>
              <w:spacing w:line="220" w:lineRule="exact"/>
              <w:ind w:firstLine="240" w:firstLineChars="100"/>
              <w:jc w:val="center"/>
              <w:rPr>
                <w:rFonts w:hint="eastAsia" w:ascii="黑体" w:hAnsi="黑体" w:eastAsia="黑体" w:cs="黑体"/>
                <w:bCs/>
                <w:sz w:val="24"/>
                <w:szCs w:val="24"/>
              </w:rPr>
            </w:pPr>
          </w:p>
        </w:tc>
        <w:tc>
          <w:tcPr>
            <w:tcW w:w="596" w:type="dxa"/>
            <w:vMerge w:val="continue"/>
            <w:vAlign w:val="center"/>
          </w:tcPr>
          <w:p>
            <w:pPr>
              <w:widowControl w:val="0"/>
              <w:adjustRightInd w:val="0"/>
              <w:snapToGrid w:val="0"/>
              <w:spacing w:line="220" w:lineRule="exact"/>
              <w:jc w:val="center"/>
              <w:rPr>
                <w:rFonts w:hint="eastAsia" w:ascii="黑体" w:hAnsi="黑体" w:eastAsia="黑体" w:cs="黑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2" w:hRule="atLeast"/>
        </w:trPr>
        <w:tc>
          <w:tcPr>
            <w:tcW w:w="643" w:type="dxa"/>
            <w:vMerge w:val="restart"/>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佛山市三水区教育投资管理有限公司（粤三公司）</w:t>
            </w:r>
          </w:p>
        </w:tc>
        <w:tc>
          <w:tcPr>
            <w:tcW w:w="491"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项目服务部副经理</w:t>
            </w:r>
          </w:p>
        </w:tc>
        <w:tc>
          <w:tcPr>
            <w:tcW w:w="596"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34"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安全科学与工程、计算机科学与技术、</w:t>
            </w:r>
            <w:r>
              <w:rPr>
                <w:rFonts w:hint="eastAsia" w:ascii="仿宋_GB2312" w:hAnsi="仿宋_GB2312" w:eastAsia="仿宋_GB2312" w:cs="仿宋_GB2312"/>
                <w:sz w:val="18"/>
                <w:szCs w:val="18"/>
                <w:highlight w:val="none"/>
              </w:rPr>
              <w:t>公共管理、</w:t>
            </w:r>
            <w:r>
              <w:rPr>
                <w:rFonts w:hint="eastAsia" w:ascii="仿宋_GB2312" w:hAnsi="仿宋_GB2312" w:eastAsia="仿宋_GB2312" w:cs="仿宋_GB2312"/>
                <w:sz w:val="18"/>
                <w:szCs w:val="18"/>
              </w:rPr>
              <w:t>管理科学与工程</w:t>
            </w:r>
            <w:r>
              <w:rPr>
                <w:rFonts w:hint="eastAsia" w:ascii="仿宋_GB2312" w:hAnsi="仿宋_GB2312" w:eastAsia="仿宋_GB2312" w:cs="仿宋_GB2312"/>
                <w:sz w:val="18"/>
                <w:szCs w:val="18"/>
                <w:lang w:eastAsia="zh-CN"/>
              </w:rPr>
              <w:t>、法学</w:t>
            </w:r>
          </w:p>
        </w:tc>
        <w:tc>
          <w:tcPr>
            <w:tcW w:w="953"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安全科学与工程类、计算机类、</w:t>
            </w:r>
            <w:r>
              <w:rPr>
                <w:rFonts w:hint="eastAsia" w:ascii="仿宋_GB2312" w:hAnsi="仿宋_GB2312" w:eastAsia="仿宋_GB2312" w:cs="仿宋_GB2312"/>
                <w:sz w:val="18"/>
                <w:szCs w:val="18"/>
                <w:highlight w:val="none"/>
              </w:rPr>
              <w:t>公共管理类、</w:t>
            </w:r>
            <w:r>
              <w:rPr>
                <w:rFonts w:hint="eastAsia" w:ascii="仿宋_GB2312" w:hAnsi="仿宋_GB2312" w:eastAsia="仿宋_GB2312" w:cs="仿宋_GB2312"/>
                <w:sz w:val="18"/>
                <w:szCs w:val="18"/>
              </w:rPr>
              <w:t>管理科学与工程类</w:t>
            </w:r>
            <w:r>
              <w:rPr>
                <w:rFonts w:hint="eastAsia" w:ascii="仿宋_GB2312" w:hAnsi="仿宋_GB2312" w:eastAsia="仿宋_GB2312" w:cs="仿宋_GB2312"/>
                <w:sz w:val="18"/>
                <w:szCs w:val="18"/>
                <w:lang w:eastAsia="zh-CN"/>
              </w:rPr>
              <w:t>、法学类</w:t>
            </w:r>
          </w:p>
        </w:tc>
        <w:tc>
          <w:tcPr>
            <w:tcW w:w="596"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全日制本科及以上学历</w:t>
            </w:r>
          </w:p>
        </w:tc>
        <w:tc>
          <w:tcPr>
            <w:tcW w:w="357"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不限</w:t>
            </w:r>
          </w:p>
        </w:tc>
        <w:tc>
          <w:tcPr>
            <w:tcW w:w="358"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35周岁及以下</w:t>
            </w:r>
          </w:p>
        </w:tc>
        <w:tc>
          <w:tcPr>
            <w:tcW w:w="3573" w:type="dxa"/>
            <w:vAlign w:val="center"/>
          </w:tcPr>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1.负责三水区城市公共停车泊位特许经营项目的日常运营管理。建立健全管理体制和运行机制，对经营过程中的重大问题及时跟踪分析调研，出具解决方案；做好与行业管理部门的对接协调。</w:t>
            </w:r>
          </w:p>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2.资产管理、维护。分析物业及经营项目管理状况，盘活存量资产，对公司经营的项目进行全面跟进、落实。                                 </w:t>
            </w:r>
          </w:p>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3.根据公司战略要求，有效整合内外部资源，做好开发品牌内涵，包装品牌形象，打造区域优质品牌。</w:t>
            </w:r>
          </w:p>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4.负责应急、消防和安全生产、综治维稳等相关工作。</w:t>
            </w:r>
          </w:p>
        </w:tc>
        <w:tc>
          <w:tcPr>
            <w:tcW w:w="3938" w:type="dxa"/>
            <w:vAlign w:val="center"/>
          </w:tcPr>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1.具有2年以上企业管理经验或与任职岗位相关的工作经历。其中，普通全日制硕士研究生或高级专业技术职称的，可缩短1年相关工作经历；博士研究生以上学历的，可缩短2年相关工作经历。</w:t>
            </w:r>
          </w:p>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2.具备良好的专业写作能力、分析判断能力及表达能力能够独立撰写分析报告。                         </w:t>
            </w:r>
          </w:p>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3.具备一定的协调、沟通、公关、解决问题及执行能力。</w:t>
            </w:r>
          </w:p>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4.具备良好的服务意识和创新意识，乐观积极，勇于挑战。                                   </w:t>
            </w:r>
          </w:p>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5.具有智能停车行业的管理工作经验的优先考虑。                     </w:t>
            </w:r>
          </w:p>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6.具有物业、项目运营管理或品牌开拓等相关工作经验及综合素质特别优秀者可适度放宽条件。</w:t>
            </w:r>
          </w:p>
        </w:tc>
        <w:tc>
          <w:tcPr>
            <w:tcW w:w="595"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社会人员</w:t>
            </w:r>
          </w:p>
        </w:tc>
        <w:tc>
          <w:tcPr>
            <w:tcW w:w="596"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r>
              <w:rPr>
                <w:rFonts w:ascii="仿宋_GB2312" w:hAnsi="仿宋_GB2312" w:eastAsia="仿宋_GB2312" w:cs="仿宋_GB2312"/>
                <w:sz w:val="18"/>
                <w:szCs w:val="18"/>
              </w:rPr>
              <w:t>1-13</w:t>
            </w:r>
            <w:r>
              <w:rPr>
                <w:rFonts w:hint="eastAsia" w:ascii="仿宋_GB2312" w:hAnsi="仿宋_GB2312" w:eastAsia="仿宋_GB2312" w:cs="仿宋_GB2312"/>
                <w:sz w:val="18"/>
                <w:szCs w:val="18"/>
              </w:rPr>
              <w:t>万</w:t>
            </w:r>
            <w:r>
              <w:rPr>
                <w:rFonts w:hint="eastAsia" w:ascii="仿宋_GB2312" w:hAnsi="仿宋_GB2312" w:eastAsia="仿宋_GB2312" w:cs="仿宋_GB2312"/>
                <w:sz w:val="18"/>
                <w:szCs w:val="18"/>
                <w:lang w:val="en-US" w:eastAsia="zh-CN"/>
              </w:rPr>
              <w:t>元</w:t>
            </w:r>
            <w:r>
              <w:rPr>
                <w:rFonts w:hint="eastAsia" w:ascii="仿宋_GB2312" w:hAnsi="仿宋_GB2312" w:eastAsia="仿宋_GB2312" w:cs="仿宋_GB2312"/>
                <w:sz w:val="18"/>
                <w:szCs w:val="18"/>
              </w:rPr>
              <w:t>/年</w:t>
            </w:r>
          </w:p>
        </w:tc>
        <w:tc>
          <w:tcPr>
            <w:tcW w:w="596"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五险一金，含带薪休假及年度体检等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2" w:hRule="atLeast"/>
        </w:trPr>
        <w:tc>
          <w:tcPr>
            <w:tcW w:w="643" w:type="dxa"/>
            <w:vMerge w:val="continue"/>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p>
        </w:tc>
        <w:tc>
          <w:tcPr>
            <w:tcW w:w="491"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项目运营</w:t>
            </w:r>
          </w:p>
        </w:tc>
        <w:tc>
          <w:tcPr>
            <w:tcW w:w="596"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34"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交通运输工程、公共管理、工商管理、管理科学与工程</w:t>
            </w:r>
          </w:p>
        </w:tc>
        <w:tc>
          <w:tcPr>
            <w:tcW w:w="953"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交通运输类、公共管理类、管理科学与工程类、物流管理与工程类、经济与贸易类</w:t>
            </w:r>
          </w:p>
        </w:tc>
        <w:tc>
          <w:tcPr>
            <w:tcW w:w="596" w:type="dxa"/>
            <w:vAlign w:val="center"/>
          </w:tcPr>
          <w:p>
            <w:pPr>
              <w:widowControl w:val="0"/>
              <w:adjustRightInd w:val="0"/>
              <w:snapToGrid w:val="0"/>
              <w:spacing w:line="22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全日制本科及以上学历</w:t>
            </w:r>
          </w:p>
        </w:tc>
        <w:tc>
          <w:tcPr>
            <w:tcW w:w="357"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不限</w:t>
            </w:r>
          </w:p>
        </w:tc>
        <w:tc>
          <w:tcPr>
            <w:tcW w:w="358"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35周岁及以下</w:t>
            </w:r>
          </w:p>
        </w:tc>
        <w:tc>
          <w:tcPr>
            <w:tcW w:w="3573" w:type="dxa"/>
            <w:vAlign w:val="center"/>
          </w:tcPr>
          <w:p>
            <w:pPr>
              <w:widowControl w:val="0"/>
              <w:adjustRightInd w:val="0"/>
              <w:snapToGrid w:val="0"/>
              <w:spacing w:line="22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1.协助开展三水区城市公共停车泊位特许经营项目日常管理工作，根据项目需求做好日常沟通和对接等工作。</w:t>
            </w:r>
          </w:p>
          <w:p>
            <w:pPr>
              <w:widowControl w:val="0"/>
              <w:adjustRightInd w:val="0"/>
              <w:snapToGrid w:val="0"/>
              <w:spacing w:line="22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2.资产管理、维护，分析经营项目管理状况。</w:t>
            </w:r>
          </w:p>
          <w:p>
            <w:pPr>
              <w:widowControl w:val="0"/>
              <w:adjustRightInd w:val="0"/>
              <w:snapToGrid w:val="0"/>
              <w:spacing w:line="22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3.完成上级交办的其他工作。</w:t>
            </w:r>
          </w:p>
        </w:tc>
        <w:tc>
          <w:tcPr>
            <w:tcW w:w="3938" w:type="dxa"/>
            <w:vAlign w:val="center"/>
          </w:tcPr>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1.能熟练使用计算机办公软件和财务软件。</w:t>
            </w:r>
          </w:p>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2.具备良好的服务意识和创新意识，熟悉企业会计和税法相关法律法规，具有一定的行业及业务知识。</w:t>
            </w:r>
          </w:p>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3.工作细致，责任感强，具备一定的协调、沟通、公关、解决问题及执行能力和团队精神。</w:t>
            </w:r>
          </w:p>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4.具备良好的专业写作能力和分析判断能力，能够独立撰写分析报告。</w:t>
            </w:r>
          </w:p>
          <w:p>
            <w:pPr>
              <w:widowControl w:val="0"/>
              <w:adjustRightInd w:val="0"/>
              <w:snapToGrid w:val="0"/>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5.具有智能停车行业的工作经验或有专业技术职称优先。</w:t>
            </w:r>
          </w:p>
        </w:tc>
        <w:tc>
          <w:tcPr>
            <w:tcW w:w="595"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社会人员</w:t>
            </w:r>
          </w:p>
        </w:tc>
        <w:tc>
          <w:tcPr>
            <w:tcW w:w="596" w:type="dxa"/>
            <w:vAlign w:val="center"/>
          </w:tcPr>
          <w:p>
            <w:pPr>
              <w:widowControl w:val="0"/>
              <w:adjustRightInd w:val="0"/>
              <w:snapToGrid w:val="0"/>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r>
              <w:rPr>
                <w:rFonts w:ascii="仿宋_GB2312" w:hAnsi="仿宋_GB2312" w:eastAsia="仿宋_GB2312" w:cs="仿宋_GB2312"/>
                <w:sz w:val="18"/>
                <w:szCs w:val="18"/>
              </w:rPr>
              <w:t>-9</w:t>
            </w:r>
          </w:p>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万</w:t>
            </w:r>
            <w:r>
              <w:rPr>
                <w:rFonts w:hint="eastAsia" w:ascii="仿宋_GB2312" w:hAnsi="仿宋_GB2312" w:eastAsia="仿宋_GB2312" w:cs="仿宋_GB2312"/>
                <w:sz w:val="18"/>
                <w:szCs w:val="18"/>
                <w:lang w:val="en-US" w:eastAsia="zh-CN"/>
              </w:rPr>
              <w:t>元</w:t>
            </w:r>
            <w:r>
              <w:rPr>
                <w:rFonts w:hint="eastAsia" w:ascii="仿宋_GB2312" w:hAnsi="仿宋_GB2312" w:eastAsia="仿宋_GB2312" w:cs="仿宋_GB2312"/>
                <w:sz w:val="18"/>
                <w:szCs w:val="18"/>
              </w:rPr>
              <w:t>/年</w:t>
            </w:r>
          </w:p>
        </w:tc>
        <w:tc>
          <w:tcPr>
            <w:tcW w:w="596" w:type="dxa"/>
            <w:vAlign w:val="center"/>
          </w:tcPr>
          <w:p>
            <w:pPr>
              <w:widowControl w:val="0"/>
              <w:adjustRightInd w:val="0"/>
              <w:snapToGrid w:val="0"/>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五险一金，含带薪休假及年度体检等</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华文楷体">
    <w:altName w:val="宋体"/>
    <w:panose1 w:val="02010600040101010101"/>
    <w:charset w:val="86"/>
    <w:family w:val="auto"/>
    <w:pitch w:val="default"/>
    <w:sig w:usb0="00000000" w:usb1="00000000" w:usb2="00000000" w:usb3="00000000" w:csb0="0004009F" w:csb1="DFD70000"/>
  </w:font>
  <w:font w:name="DengXian">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40001" w:csb1="00000000"/>
  </w:font>
  <w:font w:name="Times Newroman">
    <w:altName w:val="Times New Roman"/>
    <w:panose1 w:val="00000000000000000000"/>
    <w:charset w:val="00"/>
    <w:family w:val="roman"/>
    <w:pitch w:val="default"/>
    <w:sig w:usb0="00000000" w:usb1="00000000" w:usb2="00000000" w:usb3="00000000" w:csb0="00040001" w:csb1="00000000"/>
  </w:font>
  <w:font w:name="方正仿宋_GBK">
    <w:altName w:val="微软雅黑"/>
    <w:panose1 w:val="02000000000000000000"/>
    <w:charset w:val="86"/>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Adobe 仿宋 Std R">
    <w:altName w:val="仿宋"/>
    <w:panose1 w:val="02020400000000000000"/>
    <w:charset w:val="86"/>
    <w:family w:val="auto"/>
    <w:pitch w:val="default"/>
    <w:sig w:usb0="00000000" w:usb1="00000000" w:usb2="00000016" w:usb3="00000000" w:csb0="00060007" w:csb1="00000000"/>
  </w:font>
  <w:font w:name="方正粗黑宋简体">
    <w:panose1 w:val="02000000000000000000"/>
    <w:charset w:val="86"/>
    <w:family w:val="auto"/>
    <w:pitch w:val="default"/>
    <w:sig w:usb0="A00002BF" w:usb1="184F6CFA" w:usb2="00000012" w:usb3="00000000" w:csb0="00040001" w:csb1="00000000"/>
  </w:font>
  <w:font w:name="FangSong_GB2312">
    <w:altName w:val="仿宋_GB2312"/>
    <w:panose1 w:val="00000000000000000000"/>
    <w:charset w:val="86"/>
    <w:family w:val="modern"/>
    <w:pitch w:val="default"/>
    <w:sig w:usb0="00000000" w:usb1="0000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B306F"/>
    <w:rsid w:val="090B306F"/>
    <w:rsid w:val="191B5B0A"/>
    <w:rsid w:val="238D32C7"/>
    <w:rsid w:val="3E7B32E2"/>
    <w:rsid w:val="48AF7B3B"/>
    <w:rsid w:val="52413E04"/>
    <w:rsid w:val="592803F9"/>
    <w:rsid w:val="5B2F20E0"/>
    <w:rsid w:val="667561C2"/>
    <w:rsid w:val="6A8B6842"/>
    <w:rsid w:val="6BB00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snapToGrid w:val="0"/>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cs="Times New Roman"/>
      <w:szCs w:val="24"/>
      <w:lang w:bidi="ar-SA"/>
    </w:rPr>
  </w:style>
  <w:style w:type="paragraph" w:styleId="3">
    <w:name w:val="footer"/>
    <w:basedOn w:val="1"/>
    <w:qFormat/>
    <w:uiPriority w:val="0"/>
    <w:pPr>
      <w:tabs>
        <w:tab w:val="center" w:pos="4153"/>
        <w:tab w:val="right" w:pos="8306"/>
      </w:tabs>
      <w:snapToGrid w:val="0"/>
      <w:spacing w:beforeLines="0" w:afterLines="0"/>
      <w:jc w:val="left"/>
    </w:pPr>
    <w:rPr>
      <w:rFonts w:hint="default"/>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2023-02-22T02:35:00Z</dcterms:created>
  <dc:creator>莫婉婷</dc:creator>
  <cp:lastModifiedBy>莫婉婷</cp:lastModifiedBy>
  <dcterms:modified xsi:type="dcterms:W3CDTF">2023-02-28T02:56:37Z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