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bCs/>
          <w:sz w:val="44"/>
          <w:szCs w:val="44"/>
        </w:rPr>
      </w:pPr>
      <w:r>
        <w:rPr>
          <w:rFonts w:hint="eastAsia" w:eastAsia="方正小标宋简体"/>
          <w:spacing w:val="-1"/>
          <w:position w:val="1"/>
          <w:sz w:val="44"/>
          <w:szCs w:val="44"/>
        </w:rPr>
        <w:t>佛山市三水区家用燃气灶</w:t>
      </w:r>
      <w:r>
        <w:rPr>
          <w:rFonts w:eastAsia="方正小标宋简体"/>
          <w:spacing w:val="-1"/>
          <w:position w:val="1"/>
          <w:sz w:val="44"/>
          <w:szCs w:val="44"/>
        </w:rPr>
        <w:t>产</w:t>
      </w:r>
      <w:r>
        <w:rPr>
          <w:rFonts w:eastAsia="方正小标宋简体"/>
          <w:w w:val="99"/>
          <w:position w:val="1"/>
          <w:sz w:val="44"/>
          <w:szCs w:val="44"/>
        </w:rPr>
        <w:t>品质量监督</w:t>
      </w:r>
      <w:r>
        <w:rPr>
          <w:rFonts w:eastAsia="方正小标宋简体"/>
          <w:bCs/>
          <w:sz w:val="44"/>
          <w:szCs w:val="44"/>
        </w:rPr>
        <w:t>抽查实施细则</w:t>
      </w:r>
    </w:p>
    <w:p>
      <w:pPr>
        <w:pStyle w:val="3"/>
        <w:rPr>
          <w:rFonts w:ascii="Times New Roman"/>
        </w:rPr>
      </w:pPr>
    </w:p>
    <w:p>
      <w:pPr>
        <w:rPr>
          <w:rFonts w:eastAsia="黑体"/>
          <w:szCs w:val="32"/>
        </w:rPr>
      </w:pPr>
      <w:r>
        <w:rPr>
          <w:rFonts w:eastAsia="黑体"/>
          <w:szCs w:val="32"/>
        </w:rPr>
        <w:t>一、抽样方法</w:t>
      </w:r>
    </w:p>
    <w:p>
      <w:pPr>
        <w:widowControl/>
        <w:ind w:firstLine="640" w:firstLineChars="200"/>
        <w:rPr>
          <w:szCs w:val="32"/>
        </w:rPr>
      </w:pPr>
      <w:r>
        <w:rPr>
          <w:kern w:val="0"/>
          <w:szCs w:val="32"/>
        </w:rPr>
        <w:t>以随机抽样的方式在被抽查市场主体的待销产品中抽取。</w:t>
      </w:r>
    </w:p>
    <w:p>
      <w:pPr>
        <w:adjustRightInd w:val="0"/>
        <w:snapToGrid w:val="0"/>
        <w:ind w:firstLine="640"/>
        <w:rPr>
          <w:szCs w:val="32"/>
        </w:rPr>
      </w:pPr>
      <w:r>
        <w:rPr>
          <w:szCs w:val="32"/>
        </w:rPr>
        <w:t>随机数一般可使用随机数表等方法产生。</w:t>
      </w:r>
    </w:p>
    <w:p>
      <w:pPr>
        <w:ind w:firstLine="640" w:firstLineChars="200"/>
        <w:rPr>
          <w:color w:val="000000"/>
          <w:szCs w:val="32"/>
        </w:rPr>
      </w:pPr>
      <w:r>
        <w:rPr>
          <w:color w:val="000000"/>
          <w:szCs w:val="32"/>
        </w:rPr>
        <w:t>抽查数量：每款产品抽取2组样本，第1组用于检验，第2组用于备样。具体抽样数量如下：</w:t>
      </w:r>
    </w:p>
    <w:tbl>
      <w:tblPr>
        <w:tblStyle w:val="6"/>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117"/>
        <w:gridCol w:w="3062"/>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826" w:type="dxa"/>
            <w:vAlign w:val="center"/>
          </w:tcPr>
          <w:p>
            <w:pPr>
              <w:adjustRightInd w:val="0"/>
              <w:snapToGrid w:val="0"/>
              <w:jc w:val="center"/>
              <w:rPr>
                <w:b/>
                <w:sz w:val="24"/>
              </w:rPr>
            </w:pPr>
            <w:r>
              <w:rPr>
                <w:b/>
                <w:sz w:val="24"/>
              </w:rPr>
              <w:t>序号</w:t>
            </w:r>
          </w:p>
        </w:tc>
        <w:tc>
          <w:tcPr>
            <w:tcW w:w="2117" w:type="dxa"/>
            <w:vAlign w:val="center"/>
          </w:tcPr>
          <w:p>
            <w:pPr>
              <w:adjustRightInd w:val="0"/>
              <w:snapToGrid w:val="0"/>
              <w:jc w:val="center"/>
              <w:rPr>
                <w:b/>
                <w:sz w:val="24"/>
              </w:rPr>
            </w:pPr>
            <w:r>
              <w:rPr>
                <w:b/>
                <w:sz w:val="24"/>
              </w:rPr>
              <w:t>产品名称</w:t>
            </w:r>
          </w:p>
        </w:tc>
        <w:tc>
          <w:tcPr>
            <w:tcW w:w="3062" w:type="dxa"/>
            <w:vAlign w:val="center"/>
          </w:tcPr>
          <w:p>
            <w:pPr>
              <w:adjustRightInd w:val="0"/>
              <w:snapToGrid w:val="0"/>
              <w:jc w:val="center"/>
              <w:rPr>
                <w:b/>
                <w:sz w:val="24"/>
              </w:rPr>
            </w:pPr>
            <w:r>
              <w:rPr>
                <w:b/>
                <w:sz w:val="24"/>
              </w:rPr>
              <w:t>第1组数量</w:t>
            </w:r>
          </w:p>
        </w:tc>
        <w:tc>
          <w:tcPr>
            <w:tcW w:w="3062" w:type="dxa"/>
            <w:vAlign w:val="center"/>
          </w:tcPr>
          <w:p>
            <w:pPr>
              <w:adjustRightInd w:val="0"/>
              <w:snapToGrid w:val="0"/>
              <w:jc w:val="center"/>
              <w:rPr>
                <w:b/>
                <w:sz w:val="24"/>
              </w:rPr>
            </w:pPr>
            <w:r>
              <w:rPr>
                <w:b/>
                <w:sz w:val="24"/>
              </w:rPr>
              <w:t>第2组数量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826" w:type="dxa"/>
            <w:vAlign w:val="center"/>
          </w:tcPr>
          <w:p>
            <w:pPr>
              <w:adjustRightInd w:val="0"/>
              <w:snapToGrid w:val="0"/>
              <w:jc w:val="center"/>
              <w:rPr>
                <w:sz w:val="24"/>
              </w:rPr>
            </w:pPr>
            <w:r>
              <w:rPr>
                <w:sz w:val="24"/>
              </w:rPr>
              <w:t>1</w:t>
            </w:r>
          </w:p>
        </w:tc>
        <w:tc>
          <w:tcPr>
            <w:tcW w:w="2117" w:type="dxa"/>
            <w:vAlign w:val="center"/>
          </w:tcPr>
          <w:p>
            <w:pPr>
              <w:adjustRightInd w:val="0"/>
              <w:snapToGrid w:val="0"/>
              <w:jc w:val="center"/>
              <w:rPr>
                <w:sz w:val="24"/>
              </w:rPr>
            </w:pPr>
            <w:r>
              <w:rPr>
                <w:rFonts w:hint="eastAsia"/>
                <w:sz w:val="24"/>
              </w:rPr>
              <w:t>家用燃气灶</w:t>
            </w:r>
          </w:p>
        </w:tc>
        <w:tc>
          <w:tcPr>
            <w:tcW w:w="3062" w:type="dxa"/>
            <w:vAlign w:val="center"/>
          </w:tcPr>
          <w:p>
            <w:pPr>
              <w:adjustRightInd w:val="0"/>
              <w:snapToGrid w:val="0"/>
              <w:jc w:val="center"/>
              <w:rPr>
                <w:rFonts w:hint="eastAsia" w:eastAsia="仿宋_GB2312"/>
                <w:sz w:val="24"/>
                <w:lang w:eastAsia="zh-CN"/>
              </w:rPr>
            </w:pPr>
            <w:r>
              <w:rPr>
                <w:rFonts w:hint="eastAsia"/>
                <w:sz w:val="24"/>
              </w:rPr>
              <w:t>1</w:t>
            </w:r>
            <w:r>
              <w:rPr>
                <w:rFonts w:hint="eastAsia"/>
                <w:sz w:val="24"/>
                <w:lang w:val="en-US" w:eastAsia="zh-CN"/>
              </w:rPr>
              <w:t>台</w:t>
            </w:r>
          </w:p>
        </w:tc>
        <w:tc>
          <w:tcPr>
            <w:tcW w:w="3062" w:type="dxa"/>
            <w:vAlign w:val="center"/>
          </w:tcPr>
          <w:p>
            <w:pPr>
              <w:adjustRightInd w:val="0"/>
              <w:snapToGrid w:val="0"/>
              <w:jc w:val="center"/>
              <w:rPr>
                <w:sz w:val="24"/>
              </w:rPr>
            </w:pPr>
            <w:r>
              <w:rPr>
                <w:rFonts w:hint="eastAsia"/>
                <w:sz w:val="24"/>
              </w:rPr>
              <w:t>1</w:t>
            </w:r>
            <w:r>
              <w:rPr>
                <w:rFonts w:hint="eastAsia"/>
                <w:sz w:val="24"/>
                <w:lang w:val="en-US" w:eastAsia="zh-CN"/>
              </w:rPr>
              <w:t>台</w:t>
            </w:r>
          </w:p>
        </w:tc>
      </w:tr>
    </w:tbl>
    <w:p>
      <w:pPr>
        <w:numPr>
          <w:ilvl w:val="0"/>
          <w:numId w:val="1"/>
        </w:numPr>
        <w:adjustRightInd w:val="0"/>
        <w:snapToGrid w:val="0"/>
        <w:rPr>
          <w:rFonts w:eastAsia="黑体"/>
          <w:color w:val="000000"/>
          <w:szCs w:val="32"/>
        </w:rPr>
      </w:pPr>
      <w:bookmarkStart w:id="0" w:name="_GoBack"/>
      <w:bookmarkEnd w:id="0"/>
      <w:r>
        <w:rPr>
          <w:rFonts w:eastAsia="黑体"/>
          <w:color w:val="000000"/>
          <w:szCs w:val="32"/>
        </w:rPr>
        <w:t>主要检验项目及检验项目属性划分</w:t>
      </w:r>
    </w:p>
    <w:p>
      <w:pPr>
        <w:spacing w:line="560" w:lineRule="exact"/>
        <w:ind w:firstLine="640" w:firstLineChars="200"/>
        <w:rPr>
          <w:rFonts w:eastAsia="楷体_GB2312"/>
          <w:sz w:val="32"/>
          <w:szCs w:val="28"/>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1420"/>
        <w:gridCol w:w="2565"/>
        <w:gridCol w:w="727"/>
        <w:gridCol w:w="764"/>
        <w:gridCol w:w="702"/>
        <w:gridCol w:w="766"/>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blHeader/>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序号</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检验项目</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检验方法</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强制性</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非强制性</w:t>
            </w: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重要项</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较重要项</w:t>
            </w: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次要项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1</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气密性</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GB 16410-2020中5.2.1</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2</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热负荷偏差</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GB 16410-2020中5.2.2 a) b）c)</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3</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离焰</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GB 16410-2020中5.2.3</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4</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熄火</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GB 16410-2020中5.2.3</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5</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回火</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GB 16410-2020中5.2.3</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6</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干烟气中一氧化碳浓度</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GB 16410-2020中5.2.3</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7</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温升（操作时手必需接触部位）</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GB 16410-2020中5.2.4表3中1</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8</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耐热冲击</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GB 16410-2020中5.2.6</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9</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耐重力冲击</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GB 16410-2020中5.2.7</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10</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熄火保护装置</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 xml:space="preserve"> GB 16410-2020中5.2.8.1、5.3.1.9</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11</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热效率</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GB 30720-2014中4.2</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12</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进气管结构尺寸</w:t>
            </w:r>
          </w:p>
        </w:tc>
        <w:tc>
          <w:tcPr>
            <w:tcW w:w="25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 xml:space="preserve"> GB 16410-2020中5.3.1.8</w:t>
            </w:r>
          </w:p>
        </w:tc>
        <w:tc>
          <w:tcPr>
            <w:tcW w:w="72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r>
              <w:rPr>
                <w:rFonts w:hint="eastAsia" w:ascii="Times New Roman" w:hAnsi="Times New Roman" w:cs="仿宋_GB2312"/>
                <w:sz w:val="24"/>
              </w:rPr>
              <w:t>●</w:t>
            </w:r>
          </w:p>
        </w:tc>
        <w:tc>
          <w:tcPr>
            <w:tcW w:w="7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c>
          <w:tcPr>
            <w:tcW w:w="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60" w:lineRule="exact"/>
              <w:jc w:val="center"/>
              <w:rPr>
                <w:rFonts w:hint="eastAsia" w:ascii="Times New Roman" w:hAnsi="Times New Roman" w:cs="仿宋_GB2312"/>
                <w:sz w:val="24"/>
              </w:rPr>
            </w:pPr>
          </w:p>
        </w:tc>
      </w:tr>
    </w:tbl>
    <w:p>
      <w:pPr>
        <w:adjustRightInd w:val="0"/>
        <w:snapToGrid w:val="0"/>
        <w:ind w:firstLine="480" w:firstLineChars="200"/>
        <w:rPr>
          <w:rFonts w:eastAsia="仿宋"/>
          <w:color w:val="000000"/>
          <w:sz w:val="24"/>
        </w:rPr>
      </w:pPr>
      <w:r>
        <w:rPr>
          <w:rFonts w:eastAsia="仿宋"/>
          <w:color w:val="000000"/>
          <w:sz w:val="24"/>
        </w:rPr>
        <w:t>注1：在本次抽查中，热效率项目按GB 30720－2014检验，若被抽商品明示质量指标或标准高于GB 30720－2014标准的要求，则按其明示质量指标检验；若被抽商品明示质量指标或标准低于GB 30720－2014标准的要求，则按GB 30720－2014标准检验。</w:t>
      </w:r>
    </w:p>
    <w:p>
      <w:pPr>
        <w:adjustRightInd w:val="0"/>
        <w:snapToGrid w:val="0"/>
        <w:ind w:firstLine="480" w:firstLineChars="200"/>
        <w:rPr>
          <w:rFonts w:eastAsia="仿宋"/>
          <w:color w:val="000000"/>
          <w:sz w:val="24"/>
        </w:rPr>
      </w:pPr>
      <w:r>
        <w:rPr>
          <w:rFonts w:eastAsia="仿宋"/>
          <w:color w:val="000000"/>
          <w:sz w:val="24"/>
        </w:rPr>
        <w:t>注2：重要质量项目是指直接涉及人体健康、使用安全的指标；较重要质量项目是指产品涉及环保、能效、关键性能或特征值的指标。</w:t>
      </w:r>
    </w:p>
    <w:p>
      <w:pPr>
        <w:adjustRightInd w:val="0"/>
        <w:snapToGrid w:val="0"/>
        <w:ind w:firstLine="480" w:firstLineChars="200"/>
        <w:rPr>
          <w:rFonts w:eastAsia="仿宋"/>
          <w:color w:val="000000"/>
          <w:sz w:val="24"/>
        </w:rPr>
      </w:pPr>
      <w:r>
        <w:rPr>
          <w:rFonts w:eastAsia="仿宋"/>
          <w:color w:val="000000"/>
          <w:sz w:val="24"/>
        </w:rPr>
        <w:t>注3：上表所列检验项目是有关法律法规、标准等规定的，重点涉及健康、安全、节能、环保以及消费者、有关组织反映有质量问题的重要项目。</w:t>
      </w:r>
    </w:p>
    <w:p>
      <w:pPr>
        <w:adjustRightInd w:val="0"/>
        <w:snapToGrid w:val="0"/>
        <w:ind w:firstLine="480" w:firstLineChars="200"/>
        <w:rPr>
          <w:rFonts w:eastAsia="仿宋"/>
          <w:color w:val="000000"/>
          <w:sz w:val="24"/>
        </w:rPr>
      </w:pPr>
      <w:r>
        <w:rPr>
          <w:rFonts w:eastAsia="仿宋"/>
          <w:color w:val="000000"/>
          <w:sz w:val="24"/>
        </w:rPr>
        <w:t>注4：检验项目针对标准中强制性条文要求。</w:t>
      </w:r>
    </w:p>
    <w:p>
      <w:pPr>
        <w:adjustRightInd w:val="0"/>
        <w:snapToGrid w:val="0"/>
        <w:ind w:firstLine="640" w:firstLineChars="200"/>
        <w:rPr>
          <w:rFonts w:eastAsia="黑体"/>
          <w:color w:val="000000"/>
          <w:szCs w:val="32"/>
        </w:rPr>
      </w:pPr>
      <w:r>
        <w:rPr>
          <w:rFonts w:eastAsia="黑体"/>
          <w:color w:val="000000"/>
          <w:szCs w:val="32"/>
        </w:rPr>
        <w:t>三、判定规则</w:t>
      </w:r>
    </w:p>
    <w:p>
      <w:pPr>
        <w:adjustRightInd w:val="0"/>
        <w:snapToGrid w:val="0"/>
        <w:ind w:firstLine="640" w:firstLineChars="200"/>
        <w:rPr>
          <w:rFonts w:eastAsia="楷体_GB2312"/>
          <w:color w:val="000000"/>
          <w:szCs w:val="32"/>
        </w:rPr>
      </w:pPr>
      <w:r>
        <w:rPr>
          <w:rFonts w:eastAsia="楷体_GB2312"/>
          <w:color w:val="000000"/>
          <w:szCs w:val="32"/>
        </w:rPr>
        <w:t>（一）依据标准</w:t>
      </w:r>
    </w:p>
    <w:p>
      <w:pPr>
        <w:adjustRightInd w:val="0"/>
        <w:snapToGrid w:val="0"/>
        <w:ind w:firstLine="640"/>
        <w:rPr>
          <w:szCs w:val="32"/>
        </w:rPr>
      </w:pPr>
      <w:r>
        <w:rPr>
          <w:szCs w:val="32"/>
        </w:rPr>
        <w:t>推荐性标准</w:t>
      </w:r>
    </w:p>
    <w:p>
      <w:pPr>
        <w:ind w:firstLine="640" w:firstLineChars="200"/>
        <w:rPr>
          <w:rFonts w:hint="eastAsia"/>
          <w:szCs w:val="32"/>
        </w:rPr>
      </w:pPr>
      <w:r>
        <w:rPr>
          <w:rFonts w:hint="eastAsia"/>
          <w:szCs w:val="32"/>
        </w:rPr>
        <w:t>1、GB 16410-2020《家用燃气灶具》</w:t>
      </w:r>
    </w:p>
    <w:p>
      <w:pPr>
        <w:ind w:firstLine="640" w:firstLineChars="200"/>
        <w:rPr>
          <w:kern w:val="0"/>
          <w:szCs w:val="32"/>
        </w:rPr>
      </w:pPr>
      <w:r>
        <w:rPr>
          <w:rFonts w:hint="eastAsia"/>
          <w:szCs w:val="32"/>
          <w:lang w:val="en-US" w:eastAsia="zh-CN"/>
        </w:rPr>
        <w:t>2、</w:t>
      </w:r>
      <w:r>
        <w:rPr>
          <w:rFonts w:hint="eastAsia"/>
          <w:szCs w:val="32"/>
        </w:rPr>
        <w:t>GB 30720-2014《家用燃气灶具能效限定值及能效等级》</w:t>
      </w:r>
    </w:p>
    <w:p>
      <w:pPr>
        <w:adjustRightInd w:val="0"/>
        <w:snapToGrid w:val="0"/>
        <w:ind w:firstLine="640" w:firstLineChars="200"/>
        <w:rPr>
          <w:color w:val="000000"/>
          <w:szCs w:val="32"/>
        </w:rPr>
      </w:pPr>
      <w:r>
        <w:rPr>
          <w:rFonts w:hint="eastAsia"/>
          <w:color w:val="000000"/>
          <w:szCs w:val="32"/>
          <w:lang w:val="en-US" w:eastAsia="zh-CN"/>
        </w:rPr>
        <w:t>3</w:t>
      </w:r>
      <w:r>
        <w:rPr>
          <w:rFonts w:hint="eastAsia"/>
          <w:color w:val="000000"/>
          <w:szCs w:val="32"/>
        </w:rPr>
        <w:t>、</w:t>
      </w:r>
      <w:r>
        <w:rPr>
          <w:color w:val="000000"/>
          <w:szCs w:val="32"/>
        </w:rPr>
        <w:t>现行有效的企业标准、团体标准、地方标准及产品明示质量要求。</w:t>
      </w:r>
    </w:p>
    <w:p>
      <w:pPr>
        <w:adjustRightInd w:val="0"/>
        <w:snapToGrid w:val="0"/>
        <w:ind w:firstLine="640" w:firstLineChars="200"/>
        <w:rPr>
          <w:rFonts w:eastAsia="楷体_GB2312"/>
          <w:color w:val="000000"/>
          <w:szCs w:val="32"/>
        </w:rPr>
      </w:pPr>
      <w:r>
        <w:rPr>
          <w:rFonts w:eastAsia="楷体_GB2312"/>
          <w:color w:val="000000"/>
          <w:szCs w:val="32"/>
        </w:rPr>
        <w:t>（二）判定原则</w:t>
      </w:r>
    </w:p>
    <w:p>
      <w:pPr>
        <w:pStyle w:val="8"/>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经检验，检验项目全部合格，判定为抽取的样本所检项目未检出不合格；检验项目中任一项或一项以上不合格，判定为被抽查产品不合格。</w:t>
      </w:r>
    </w:p>
    <w:p>
      <w:pPr>
        <w:pStyle w:val="8"/>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当被检样品明示的质量要求优于监督抽查实施细则中依据的标准要求时，应按被检样品明示的质量要求判定；</w:t>
      </w:r>
    </w:p>
    <w:p>
      <w:pPr>
        <w:pStyle w:val="8"/>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当被检样品明示的质量要求劣于或不包含监督抽查实施细则中依据的强制性标准要求时，应按照强制性标准要求判定；</w:t>
      </w:r>
    </w:p>
    <w:p>
      <w:pPr>
        <w:pStyle w:val="8"/>
        <w:widowControl w:val="0"/>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当被检样品明示的质量要求劣于或包含监督抽查实施细则中依据的推荐性标准要求时，应以被检样品明示的质量要求判定，如相应检验结果不符合相关推荐性标准要求时，应在检验报告中予以说明；</w:t>
      </w:r>
    </w:p>
    <w:p>
      <w:pPr>
        <w:pStyle w:val="8"/>
        <w:widowControl w:val="0"/>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当被检样品明示的质量要求不包含监督抽查实施细则中依据的推荐性标准要求时，该指标不参与判定，但应在检验报告中作出说明；</w:t>
      </w:r>
    </w:p>
    <w:p>
      <w:pPr>
        <w:pStyle w:val="8"/>
        <w:widowControl w:val="0"/>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当被检样品未能提供有效的企业标准时，按相关国家或行业标准进行判定；</w:t>
      </w:r>
    </w:p>
    <w:p>
      <w:pPr>
        <w:pStyle w:val="8"/>
        <w:widowControl w:val="0"/>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当被检样品标签标识中执行标准信息和产品类别信息不明或有误，影响检测和判定时，可根据相关强制性标准要求，同时结合产品特点等信息判断和选择相关标准进行检验，并应在检验报告中作出相关说明；</w:t>
      </w:r>
    </w:p>
    <w:p>
      <w:pPr>
        <w:pStyle w:val="8"/>
        <w:widowControl w:val="0"/>
        <w:tabs>
          <w:tab w:val="clear" w:pos="4201"/>
          <w:tab w:val="clear" w:pos="9298"/>
        </w:tabs>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按照产品质量相关法律法规的规定判定。</w:t>
      </w:r>
    </w:p>
    <w:p>
      <w:pPr>
        <w:pStyle w:val="8"/>
        <w:tabs>
          <w:tab w:val="clear" w:pos="4201"/>
          <w:tab w:val="clear" w:pos="9298"/>
        </w:tabs>
        <w:ind w:firstLine="640"/>
        <w:rPr>
          <w:rFonts w:ascii="Times New Roman" w:hAnsi="Times New Roman" w:cs="Times New Roman"/>
        </w:rPr>
      </w:pPr>
      <w:r>
        <w:rPr>
          <w:rFonts w:ascii="Times New Roman" w:hAnsi="Times New Roman" w:eastAsia="仿宋_GB2312" w:cs="Times New Roman"/>
          <w:sz w:val="32"/>
          <w:szCs w:val="32"/>
        </w:rPr>
        <w:t>检验中发现因样品失效或者其他原因致使检验无法进行的，检验人员应如实记录，并提供相关证明材料，报送组织监督抽查的市场监管部门。</w:t>
      </w:r>
    </w:p>
    <w:sectPr>
      <w:pgSz w:w="11906" w:h="16838"/>
      <w:pgMar w:top="1418" w:right="1701"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736D2"/>
    <w:multiLevelType w:val="singleLevel"/>
    <w:tmpl w:val="361736D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9D94F78"/>
    <w:rsid w:val="00002DC4"/>
    <w:rsid w:val="0000483D"/>
    <w:rsid w:val="00017F06"/>
    <w:rsid w:val="00027231"/>
    <w:rsid w:val="00034766"/>
    <w:rsid w:val="00040624"/>
    <w:rsid w:val="00064E60"/>
    <w:rsid w:val="00082342"/>
    <w:rsid w:val="00084B11"/>
    <w:rsid w:val="0008798E"/>
    <w:rsid w:val="000A11D7"/>
    <w:rsid w:val="000A3136"/>
    <w:rsid w:val="000B56BA"/>
    <w:rsid w:val="000D1673"/>
    <w:rsid w:val="000D2040"/>
    <w:rsid w:val="000E5C12"/>
    <w:rsid w:val="000E68E7"/>
    <w:rsid w:val="000F671F"/>
    <w:rsid w:val="00106A35"/>
    <w:rsid w:val="00112355"/>
    <w:rsid w:val="00123671"/>
    <w:rsid w:val="00131003"/>
    <w:rsid w:val="001405EE"/>
    <w:rsid w:val="00144400"/>
    <w:rsid w:val="00145012"/>
    <w:rsid w:val="0014684E"/>
    <w:rsid w:val="00154D0E"/>
    <w:rsid w:val="001563C1"/>
    <w:rsid w:val="00190A33"/>
    <w:rsid w:val="001B15D2"/>
    <w:rsid w:val="001D70D2"/>
    <w:rsid w:val="001E4B28"/>
    <w:rsid w:val="001E7B77"/>
    <w:rsid w:val="001F34B8"/>
    <w:rsid w:val="00202B2F"/>
    <w:rsid w:val="0021117A"/>
    <w:rsid w:val="00216BBE"/>
    <w:rsid w:val="00221209"/>
    <w:rsid w:val="002234B8"/>
    <w:rsid w:val="00226CD8"/>
    <w:rsid w:val="00245F5E"/>
    <w:rsid w:val="002471A0"/>
    <w:rsid w:val="002520C8"/>
    <w:rsid w:val="00261534"/>
    <w:rsid w:val="002627C1"/>
    <w:rsid w:val="00263AE8"/>
    <w:rsid w:val="00270A5C"/>
    <w:rsid w:val="002719F1"/>
    <w:rsid w:val="00276E40"/>
    <w:rsid w:val="00283B39"/>
    <w:rsid w:val="00297301"/>
    <w:rsid w:val="002A5BE3"/>
    <w:rsid w:val="002C14AF"/>
    <w:rsid w:val="002C4CE4"/>
    <w:rsid w:val="002D0E3B"/>
    <w:rsid w:val="002E0860"/>
    <w:rsid w:val="002F5198"/>
    <w:rsid w:val="0030103E"/>
    <w:rsid w:val="003117C7"/>
    <w:rsid w:val="0032069A"/>
    <w:rsid w:val="003248D1"/>
    <w:rsid w:val="00335D91"/>
    <w:rsid w:val="0033670F"/>
    <w:rsid w:val="00352A78"/>
    <w:rsid w:val="00355C57"/>
    <w:rsid w:val="00365D3D"/>
    <w:rsid w:val="003845BA"/>
    <w:rsid w:val="003D0BD6"/>
    <w:rsid w:val="003D193D"/>
    <w:rsid w:val="003E22A9"/>
    <w:rsid w:val="003F7486"/>
    <w:rsid w:val="00415D2E"/>
    <w:rsid w:val="00436C2F"/>
    <w:rsid w:val="00437DD1"/>
    <w:rsid w:val="00490F3B"/>
    <w:rsid w:val="00491014"/>
    <w:rsid w:val="00496051"/>
    <w:rsid w:val="004B4459"/>
    <w:rsid w:val="004C615B"/>
    <w:rsid w:val="004D16C4"/>
    <w:rsid w:val="004E1D8E"/>
    <w:rsid w:val="005008CD"/>
    <w:rsid w:val="00500E72"/>
    <w:rsid w:val="00501412"/>
    <w:rsid w:val="005066E0"/>
    <w:rsid w:val="00517BA3"/>
    <w:rsid w:val="0052223E"/>
    <w:rsid w:val="005254B1"/>
    <w:rsid w:val="00526B9E"/>
    <w:rsid w:val="00527FEC"/>
    <w:rsid w:val="00553B70"/>
    <w:rsid w:val="005554BE"/>
    <w:rsid w:val="00560D32"/>
    <w:rsid w:val="00561905"/>
    <w:rsid w:val="00570807"/>
    <w:rsid w:val="0057597A"/>
    <w:rsid w:val="005864CF"/>
    <w:rsid w:val="00586D24"/>
    <w:rsid w:val="005870F8"/>
    <w:rsid w:val="005A0932"/>
    <w:rsid w:val="005B335A"/>
    <w:rsid w:val="005C2FD8"/>
    <w:rsid w:val="006010EF"/>
    <w:rsid w:val="006114B6"/>
    <w:rsid w:val="00650633"/>
    <w:rsid w:val="006523DC"/>
    <w:rsid w:val="00655DC3"/>
    <w:rsid w:val="00655E20"/>
    <w:rsid w:val="00663E8D"/>
    <w:rsid w:val="0068130C"/>
    <w:rsid w:val="00684A2C"/>
    <w:rsid w:val="006854AC"/>
    <w:rsid w:val="006856C9"/>
    <w:rsid w:val="006A0863"/>
    <w:rsid w:val="006A6CA5"/>
    <w:rsid w:val="006C29B7"/>
    <w:rsid w:val="00703AB6"/>
    <w:rsid w:val="007127E8"/>
    <w:rsid w:val="00724A31"/>
    <w:rsid w:val="00733989"/>
    <w:rsid w:val="00746A9F"/>
    <w:rsid w:val="00790BB4"/>
    <w:rsid w:val="007B0EE6"/>
    <w:rsid w:val="007C20B9"/>
    <w:rsid w:val="007E2DBA"/>
    <w:rsid w:val="007E5363"/>
    <w:rsid w:val="007F1149"/>
    <w:rsid w:val="007F173E"/>
    <w:rsid w:val="00807322"/>
    <w:rsid w:val="00823BA3"/>
    <w:rsid w:val="008302AF"/>
    <w:rsid w:val="00836867"/>
    <w:rsid w:val="008539AF"/>
    <w:rsid w:val="00863AE5"/>
    <w:rsid w:val="00864D2F"/>
    <w:rsid w:val="00866947"/>
    <w:rsid w:val="00876E06"/>
    <w:rsid w:val="00884082"/>
    <w:rsid w:val="008A321E"/>
    <w:rsid w:val="008C2265"/>
    <w:rsid w:val="008D15C7"/>
    <w:rsid w:val="008D3AB0"/>
    <w:rsid w:val="008D7362"/>
    <w:rsid w:val="008E466E"/>
    <w:rsid w:val="00900850"/>
    <w:rsid w:val="009023B6"/>
    <w:rsid w:val="009268BB"/>
    <w:rsid w:val="00950997"/>
    <w:rsid w:val="00955148"/>
    <w:rsid w:val="00961D19"/>
    <w:rsid w:val="0096287C"/>
    <w:rsid w:val="00963F22"/>
    <w:rsid w:val="0096478E"/>
    <w:rsid w:val="00972833"/>
    <w:rsid w:val="00973845"/>
    <w:rsid w:val="00995FFC"/>
    <w:rsid w:val="009A22F2"/>
    <w:rsid w:val="009A5081"/>
    <w:rsid w:val="009C269F"/>
    <w:rsid w:val="009D041E"/>
    <w:rsid w:val="009D1AEC"/>
    <w:rsid w:val="00A0192B"/>
    <w:rsid w:val="00A059B4"/>
    <w:rsid w:val="00A14F34"/>
    <w:rsid w:val="00A21D3B"/>
    <w:rsid w:val="00A24C7B"/>
    <w:rsid w:val="00A411B8"/>
    <w:rsid w:val="00A86C76"/>
    <w:rsid w:val="00AA1596"/>
    <w:rsid w:val="00AC7750"/>
    <w:rsid w:val="00AE1BD9"/>
    <w:rsid w:val="00AF07BE"/>
    <w:rsid w:val="00B0409C"/>
    <w:rsid w:val="00B06695"/>
    <w:rsid w:val="00B26438"/>
    <w:rsid w:val="00B44B06"/>
    <w:rsid w:val="00B64895"/>
    <w:rsid w:val="00B649B2"/>
    <w:rsid w:val="00B81482"/>
    <w:rsid w:val="00B8394B"/>
    <w:rsid w:val="00BC5E9C"/>
    <w:rsid w:val="00BD093E"/>
    <w:rsid w:val="00BD193E"/>
    <w:rsid w:val="00BE0547"/>
    <w:rsid w:val="00BE554D"/>
    <w:rsid w:val="00BF13D6"/>
    <w:rsid w:val="00BF62A4"/>
    <w:rsid w:val="00C00B81"/>
    <w:rsid w:val="00C133CE"/>
    <w:rsid w:val="00C2538B"/>
    <w:rsid w:val="00C3094E"/>
    <w:rsid w:val="00C4053D"/>
    <w:rsid w:val="00C4522E"/>
    <w:rsid w:val="00C502B3"/>
    <w:rsid w:val="00C52A52"/>
    <w:rsid w:val="00C561F5"/>
    <w:rsid w:val="00C575B0"/>
    <w:rsid w:val="00C577B4"/>
    <w:rsid w:val="00C67955"/>
    <w:rsid w:val="00C91A0C"/>
    <w:rsid w:val="00CA3438"/>
    <w:rsid w:val="00CA5663"/>
    <w:rsid w:val="00CE12B9"/>
    <w:rsid w:val="00CE2B96"/>
    <w:rsid w:val="00CF016F"/>
    <w:rsid w:val="00D13789"/>
    <w:rsid w:val="00D247DB"/>
    <w:rsid w:val="00D24CC2"/>
    <w:rsid w:val="00D3636D"/>
    <w:rsid w:val="00D45832"/>
    <w:rsid w:val="00D67FBF"/>
    <w:rsid w:val="00D71E7D"/>
    <w:rsid w:val="00D766D0"/>
    <w:rsid w:val="00D802D7"/>
    <w:rsid w:val="00D80CCC"/>
    <w:rsid w:val="00D8516C"/>
    <w:rsid w:val="00D92615"/>
    <w:rsid w:val="00D968B6"/>
    <w:rsid w:val="00D974CE"/>
    <w:rsid w:val="00DA1C8F"/>
    <w:rsid w:val="00DA1ED5"/>
    <w:rsid w:val="00DA50A1"/>
    <w:rsid w:val="00DC0C36"/>
    <w:rsid w:val="00DD5702"/>
    <w:rsid w:val="00DE4C62"/>
    <w:rsid w:val="00DE5ED3"/>
    <w:rsid w:val="00DE7344"/>
    <w:rsid w:val="00DF74C3"/>
    <w:rsid w:val="00E02517"/>
    <w:rsid w:val="00E05833"/>
    <w:rsid w:val="00E1493C"/>
    <w:rsid w:val="00E31C0A"/>
    <w:rsid w:val="00E32383"/>
    <w:rsid w:val="00E33476"/>
    <w:rsid w:val="00E37BD5"/>
    <w:rsid w:val="00E55DBF"/>
    <w:rsid w:val="00E653F9"/>
    <w:rsid w:val="00E97BFC"/>
    <w:rsid w:val="00EA718C"/>
    <w:rsid w:val="00EC2032"/>
    <w:rsid w:val="00EC70AA"/>
    <w:rsid w:val="00EE0054"/>
    <w:rsid w:val="00EE5BE6"/>
    <w:rsid w:val="00EF5355"/>
    <w:rsid w:val="00F01DA1"/>
    <w:rsid w:val="00F34D9B"/>
    <w:rsid w:val="00F36D4E"/>
    <w:rsid w:val="00F72E8D"/>
    <w:rsid w:val="00F93518"/>
    <w:rsid w:val="00F94124"/>
    <w:rsid w:val="00FB1276"/>
    <w:rsid w:val="00FC4E64"/>
    <w:rsid w:val="00FC6941"/>
    <w:rsid w:val="00FE1C54"/>
    <w:rsid w:val="00FE4F65"/>
    <w:rsid w:val="00FF641B"/>
    <w:rsid w:val="0E1B3D25"/>
    <w:rsid w:val="18FE79A0"/>
    <w:rsid w:val="1ED92B47"/>
    <w:rsid w:val="232B76E0"/>
    <w:rsid w:val="2A856EE4"/>
    <w:rsid w:val="2FEB3161"/>
    <w:rsid w:val="401703D7"/>
    <w:rsid w:val="45624F4B"/>
    <w:rsid w:val="49492FEE"/>
    <w:rsid w:val="59D94F78"/>
    <w:rsid w:val="5B27212A"/>
    <w:rsid w:val="704B69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ourier New" w:hAnsi="Courier New" w:eastAsia="宋体" w:cs="Courier New"/>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9"/>
    <w:pPr>
      <w:jc w:val="center"/>
      <w:outlineLvl w:val="0"/>
    </w:pPr>
    <w:rPr>
      <w:rFonts w:ascii="方正小标宋简体" w:eastAsia="方正小标宋简体"/>
      <w:kern w:val="44"/>
      <w:sz w:val="3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宋体"/>
      <w:sz w:val="21"/>
      <w:szCs w:val="21"/>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character" w:customStyle="1" w:styleId="9">
    <w:name w:val="页眉 Char"/>
    <w:basedOn w:val="7"/>
    <w:link w:val="5"/>
    <w:qFormat/>
    <w:uiPriority w:val="0"/>
    <w:rPr>
      <w:rFonts w:eastAsia="仿宋_GB2312"/>
      <w:kern w:val="2"/>
      <w:sz w:val="18"/>
      <w:szCs w:val="18"/>
    </w:rPr>
  </w:style>
  <w:style w:type="character" w:customStyle="1" w:styleId="10">
    <w:name w:val="页脚 Char"/>
    <w:basedOn w:val="7"/>
    <w:link w:val="4"/>
    <w:qFormat/>
    <w:uiPriority w:val="0"/>
    <w:rPr>
      <w:rFonts w:eastAsia="仿宋_GB2312"/>
      <w:kern w:val="2"/>
      <w:sz w:val="18"/>
      <w:szCs w:val="18"/>
    </w:rPr>
  </w:style>
  <w:style w:type="paragraph" w:customStyle="1" w:styleId="11">
    <w:name w:val="Char"/>
    <w:basedOn w:val="1"/>
    <w:uiPriority w:val="0"/>
    <w:pPr>
      <w:widowControl/>
      <w:spacing w:after="160" w:line="240" w:lineRule="exact"/>
      <w:jc w:val="left"/>
    </w:pPr>
    <w:rPr>
      <w:rFonts w:eastAsia="宋体"/>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099579-81AD-4788-86B1-0E2C3F6F5C6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165</Words>
  <Characters>943</Characters>
  <Lines>7</Lines>
  <Paragraphs>2</Paragraphs>
  <TotalTime>1</TotalTime>
  <ScaleCrop>false</ScaleCrop>
  <LinksUpToDate>false</LinksUpToDate>
  <CharactersWithSpaces>1106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2022-05-11T06:39:00Z</dcterms:created>
  <dc:creator>YWB</dc:creator>
  <cp:lastModifiedBy>hu</cp:lastModifiedBy>
  <dcterms:modified xsi:type="dcterms:W3CDTF">2023-03-09T08:26:57Z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