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EE" w:rsidRDefault="00616848" w:rsidP="005E43EE">
      <w:pPr>
        <w:widowControl/>
        <w:spacing w:line="600" w:lineRule="exact"/>
        <w:jc w:val="center"/>
        <w:rPr>
          <w:rFonts w:eastAsia="方正小标宋简体" w:cs="方正小标宋简体"/>
          <w:bCs/>
          <w:color w:val="000000"/>
          <w:szCs w:val="32"/>
        </w:rPr>
      </w:pPr>
      <w:r>
        <w:rPr>
          <w:rFonts w:ascii="方正小标宋简体" w:eastAsia="方正小标宋简体" w:hAnsi="方正小标宋简体" w:cs="方正小标宋简体" w:hint="eastAsia"/>
          <w:bCs/>
          <w:color w:val="000000"/>
          <w:sz w:val="44"/>
          <w:szCs w:val="44"/>
        </w:rPr>
        <w:t>佛山市三水区</w:t>
      </w:r>
      <w:r w:rsidR="005E43EE">
        <w:rPr>
          <w:rFonts w:ascii="方正小标宋简体" w:eastAsia="方正小标宋简体" w:hAnsi="方正小标宋简体" w:cs="方正小标宋简体" w:hint="eastAsia"/>
          <w:bCs/>
          <w:color w:val="000000"/>
          <w:sz w:val="44"/>
          <w:szCs w:val="44"/>
        </w:rPr>
        <w:t>玩具产品质量监督抽查实施细则</w:t>
      </w:r>
    </w:p>
    <w:p w:rsidR="005E43EE" w:rsidRDefault="005E43EE" w:rsidP="005E43EE">
      <w:pPr>
        <w:spacing w:line="600" w:lineRule="exact"/>
        <w:rPr>
          <w:rFonts w:ascii="仿宋_GB2312" w:hAnsi="仿宋_GB2312" w:cs="仿宋_GB2312"/>
          <w:szCs w:val="32"/>
        </w:rPr>
      </w:pPr>
    </w:p>
    <w:p w:rsidR="005E43EE" w:rsidRDefault="005E43EE" w:rsidP="005E43EE">
      <w:pPr>
        <w:spacing w:line="600" w:lineRule="exact"/>
        <w:ind w:firstLineChars="200" w:firstLine="640"/>
        <w:rPr>
          <w:rFonts w:ascii="黑体" w:eastAsia="黑体" w:hAnsi="黑体" w:cs="Courier New"/>
          <w:szCs w:val="32"/>
        </w:rPr>
      </w:pPr>
      <w:r>
        <w:rPr>
          <w:rFonts w:ascii="黑体" w:eastAsia="黑体" w:hAnsi="黑体" w:cs="Courier New" w:hint="eastAsia"/>
          <w:szCs w:val="32"/>
        </w:rPr>
        <w:t>一、抽样方法</w:t>
      </w:r>
    </w:p>
    <w:p w:rsidR="005E43EE" w:rsidRDefault="005E43EE" w:rsidP="005E43EE">
      <w:pPr>
        <w:autoSpaceDE w:val="0"/>
        <w:autoSpaceDN w:val="0"/>
        <w:spacing w:line="520" w:lineRule="exact"/>
        <w:ind w:firstLineChars="200" w:firstLine="640"/>
        <w:rPr>
          <w:rFonts w:ascii="仿宋_GB2312" w:hAnsi="仿宋_GB2312" w:cs="仿宋_GB2312"/>
          <w:kern w:val="0"/>
          <w:szCs w:val="32"/>
        </w:rPr>
      </w:pPr>
      <w:r>
        <w:rPr>
          <w:rFonts w:ascii="仿宋_GB2312" w:hAnsi="仿宋_GB2312" w:cs="仿宋_GB2312" w:hint="eastAsia"/>
          <w:kern w:val="0"/>
          <w:szCs w:val="32"/>
        </w:rPr>
        <w:t>抽查产品：玩具（塑胶玩具、弹射玩具、毛绒布制玩具、电动玩具、儿童地垫等）。</w:t>
      </w:r>
    </w:p>
    <w:p w:rsidR="005E43EE" w:rsidRDefault="005E43EE" w:rsidP="005E43EE">
      <w:pPr>
        <w:autoSpaceDE w:val="0"/>
        <w:autoSpaceDN w:val="0"/>
        <w:spacing w:line="520" w:lineRule="exact"/>
        <w:ind w:firstLineChars="200" w:firstLine="640"/>
        <w:rPr>
          <w:rFonts w:ascii="仿宋_GB2312" w:hAnsi="仿宋_GB2312" w:cs="仿宋_GB2312"/>
          <w:kern w:val="0"/>
          <w:szCs w:val="32"/>
        </w:rPr>
      </w:pPr>
      <w:r>
        <w:rPr>
          <w:rFonts w:ascii="仿宋_GB2312" w:hAnsi="仿宋_GB2312" w:cs="仿宋_GB2312"/>
          <w:kern w:val="0"/>
          <w:szCs w:val="32"/>
        </w:rPr>
        <w:t>以随机抽样的方式在被抽样经营者的待销产品中抽取</w:t>
      </w:r>
      <w:r>
        <w:rPr>
          <w:rFonts w:ascii="仿宋_GB2312" w:hAnsi="仿宋_GB2312" w:cs="仿宋_GB2312" w:hint="eastAsia"/>
          <w:kern w:val="0"/>
          <w:szCs w:val="32"/>
        </w:rPr>
        <w:t>。</w:t>
      </w:r>
      <w:r>
        <w:rPr>
          <w:rFonts w:ascii="仿宋_GB2312" w:hAnsi="仿宋_GB2312" w:cs="仿宋_GB2312"/>
          <w:kern w:val="0"/>
          <w:szCs w:val="32"/>
        </w:rPr>
        <w:t>随机数一般可使用随机数表等方法产生。</w:t>
      </w:r>
    </w:p>
    <w:p w:rsidR="005E43EE" w:rsidRDefault="005E43EE" w:rsidP="005E43EE">
      <w:pPr>
        <w:autoSpaceDE w:val="0"/>
        <w:autoSpaceDN w:val="0"/>
        <w:spacing w:line="520" w:lineRule="exact"/>
        <w:ind w:firstLineChars="200" w:firstLine="640"/>
        <w:rPr>
          <w:rFonts w:ascii="仿宋_GB2312" w:hAnsi="仿宋_GB2312" w:cs="仿宋_GB2312"/>
          <w:kern w:val="0"/>
        </w:rPr>
      </w:pPr>
      <w:r>
        <w:rPr>
          <w:rFonts w:ascii="仿宋_GB2312" w:hAnsi="仿宋_GB2312" w:cs="仿宋_GB2312"/>
          <w:kern w:val="0"/>
          <w:szCs w:val="32"/>
        </w:rPr>
        <w:t>抽查数量：每款产品抽取2组样本，第1组用于检验，第2组用于备样。</w:t>
      </w:r>
      <w:r>
        <w:rPr>
          <w:rFonts w:ascii="仿宋_GB2312" w:hAnsi="仿宋_GB2312" w:cs="仿宋_GB2312" w:hint="eastAsia"/>
          <w:kern w:val="0"/>
          <w:szCs w:val="32"/>
        </w:rPr>
        <w:t>第1组抽取数量为2个，第2组抽取数量为1个。</w:t>
      </w:r>
    </w:p>
    <w:p w:rsidR="005E43EE" w:rsidRDefault="005E43EE" w:rsidP="005E43EE">
      <w:pPr>
        <w:spacing w:line="600" w:lineRule="exact"/>
        <w:ind w:firstLineChars="200" w:firstLine="640"/>
        <w:rPr>
          <w:szCs w:val="32"/>
        </w:rPr>
      </w:pPr>
      <w:r>
        <w:rPr>
          <w:rFonts w:eastAsia="黑体" w:cs="黑体" w:hint="eastAsia"/>
          <w:szCs w:val="32"/>
        </w:rPr>
        <w:t>二、主要检验项目及检验项目属性划分</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55"/>
        <w:gridCol w:w="2310"/>
        <w:gridCol w:w="2693"/>
        <w:gridCol w:w="603"/>
        <w:gridCol w:w="604"/>
        <w:gridCol w:w="603"/>
        <w:gridCol w:w="604"/>
        <w:gridCol w:w="604"/>
      </w:tblGrid>
      <w:tr w:rsidR="005E43EE" w:rsidTr="001A7805">
        <w:trPr>
          <w:cantSplit/>
          <w:trHeight w:val="454"/>
          <w:tblHeader/>
          <w:jc w:val="center"/>
        </w:trPr>
        <w:tc>
          <w:tcPr>
            <w:tcW w:w="655"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2310"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检验项目</w:t>
            </w:r>
          </w:p>
        </w:tc>
        <w:tc>
          <w:tcPr>
            <w:tcW w:w="2693"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检验方法</w:t>
            </w:r>
          </w:p>
        </w:tc>
        <w:tc>
          <w:tcPr>
            <w:tcW w:w="603"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强制性</w:t>
            </w:r>
          </w:p>
        </w:tc>
        <w:tc>
          <w:tcPr>
            <w:tcW w:w="604"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非强制性</w:t>
            </w:r>
          </w:p>
        </w:tc>
        <w:tc>
          <w:tcPr>
            <w:tcW w:w="603"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重要项</w:t>
            </w:r>
          </w:p>
        </w:tc>
        <w:tc>
          <w:tcPr>
            <w:tcW w:w="604"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较重要项</w:t>
            </w:r>
          </w:p>
        </w:tc>
        <w:tc>
          <w:tcPr>
            <w:tcW w:w="604" w:type="dxa"/>
            <w:shd w:val="clear" w:color="auto" w:fill="FFFFFF"/>
            <w:noWrap/>
            <w:vAlign w:val="center"/>
          </w:tcPr>
          <w:p w:rsidR="005E43EE" w:rsidRDefault="005E43EE" w:rsidP="001A7805">
            <w:pPr>
              <w:adjustRightInd w:val="0"/>
              <w:snapToGrid w:val="0"/>
              <w:spacing w:line="260" w:lineRule="exact"/>
              <w:jc w:val="center"/>
              <w:rPr>
                <w:rFonts w:ascii="仿宋_GB2312" w:hAnsi="仿宋_GB2312" w:cs="仿宋_GB2312"/>
                <w:b/>
                <w:bCs/>
                <w:sz w:val="24"/>
              </w:rPr>
            </w:pPr>
            <w:r>
              <w:rPr>
                <w:rFonts w:ascii="仿宋_GB2312" w:hAnsi="仿宋_GB2312" w:cs="仿宋_GB2312" w:hint="eastAsia"/>
                <w:b/>
                <w:bCs/>
                <w:sz w:val="24"/>
              </w:rPr>
              <w:t>次要项</w:t>
            </w: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firstLineChars="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机械和物理性能</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6675.1-2014 5.1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正常使用</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w:t>
            </w:r>
            <w:r>
              <w:rPr>
                <w:rFonts w:ascii="仿宋_GB2312" w:hAnsi="仿宋_GB2312" w:cs="仿宋_GB2312"/>
                <w:spacing w:val="-6"/>
                <w:sz w:val="24"/>
              </w:rPr>
              <w:t>-</w:t>
            </w:r>
            <w:r>
              <w:rPr>
                <w:rFonts w:ascii="仿宋_GB2312" w:hAnsi="仿宋_GB2312" w:cs="仿宋_GB2312" w:hint="eastAsia"/>
                <w:spacing w:val="-6"/>
                <w:sz w:val="24"/>
              </w:rPr>
              <w:t>5.23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可预见的合理滥用</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材料</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小零件</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某些特定玩具的形状、尺寸及强度</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5.3、5.4、5.5、5.6</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边缘</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5.8</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尖端</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5.9</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突出部件</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金属丝和杆件</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5.24.8、5.24.6.4、5.8、5.9</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用于包装或玩具中的塑料袋或塑料薄膜</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5.10</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绳索和弹性绳</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折叠机构</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孔、间隙、机械装置的可触及性</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4.13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弹簧</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4.14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乘骑玩具及座位稳定性</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乘骑玩具及座位的超载性能</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静止在地面上的玩具的稳定性</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通风装置</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4.16.1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关闭件</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封闭头部的玩具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4.16.3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仿制防护玩具（头盔、帽子、护目镜）</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弹射玩具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5.2、5.15、5.24.5、5.24.6.4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水上玩具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4.19</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制动装置</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5.16</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玩具自行车使用说明</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4.21.1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鞍座最大高度</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4.21.2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制动要求</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5.16</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电动童车的速度要求</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5.17</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热源玩具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5.18</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液体填充玩具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5.19</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口动玩具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5.2、5.24.5、5.24.6.1、5.20</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玩具滚轴溜冰鞋、单排滚轴溜冰鞋及玩具滑板</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4.26</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玩具火药帽</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4.27</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声响要求</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5.25</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磁体和磁性部件</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5.2、5.24.2、5.24.5、5.24.6.1、5.24.6.2、5.24.7、5.26、5.27、5.28、5.29</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易燃性能</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w:t>
            </w:r>
            <w:r>
              <w:rPr>
                <w:rFonts w:ascii="仿宋_GB2312" w:hAnsi="仿宋_GB2312" w:cs="仿宋_GB2312" w:hint="eastAsia"/>
                <w:spacing w:val="-6"/>
                <w:sz w:val="24"/>
              </w:rPr>
              <w:softHyphen/>
              <w:t>2014 5.2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易燃性能：一般要求</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6675.3-2014 4.1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易燃性能：头戴玩具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6675.3-2014 5.2、5.3、5.4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易燃性能：化妆服饰</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6675.3-2014 5.4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易燃性能：供儿童进入的玩具</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6675.3-2014 5.4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易燃性能：具有毛绒或纺织表面的软体填充玩具（动物和娃娃等）</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6675.3-2014 5.5、5.6</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发热和非正常工作</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19865-2005 9</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机械强度</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19865-2005 13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结构</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19865-2005 14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可迁移元素</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 xml:space="preserve">GB 6675.4-2014 </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邻苯二甲酸酯增塑剂</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GB/T 22048-2015</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玩具的适用年龄</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 xml:space="preserve">GB/T 28022-2021 </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玩具警告标识</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6675.1-2014  5.7.2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标识和说明</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19865-2005 7</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突出部件</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6675.12-2014 4.7</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静态强度和动态强度</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6675.12-2014  5.1、5.2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把立管强度</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6675.12-2014 5.4</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三轮滑板车的稳定性</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6675.2-2014 5.12.2</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可调节、可折叠的把立管和把横管</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6675.12-2014  5.4.3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刹车</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6675.12-2014 5.3</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r w:rsidR="005E43EE" w:rsidTr="001A7805">
        <w:trPr>
          <w:cantSplit/>
          <w:trHeight w:val="454"/>
          <w:jc w:val="center"/>
        </w:trPr>
        <w:tc>
          <w:tcPr>
            <w:tcW w:w="655" w:type="dxa"/>
            <w:shd w:val="clear" w:color="auto" w:fill="FFFFFF"/>
            <w:noWrap/>
            <w:vAlign w:val="center"/>
          </w:tcPr>
          <w:p w:rsidR="005E43EE" w:rsidRDefault="005E43EE" w:rsidP="005E43EE">
            <w:pPr>
              <w:pStyle w:val="2"/>
              <w:widowControl/>
              <w:numPr>
                <w:ilvl w:val="0"/>
                <w:numId w:val="1"/>
              </w:numPr>
              <w:tabs>
                <w:tab w:val="left" w:pos="310"/>
              </w:tabs>
              <w:spacing w:line="400" w:lineRule="exact"/>
              <w:ind w:left="0" w:firstLineChars="0" w:firstLine="0"/>
              <w:jc w:val="center"/>
              <w:rPr>
                <w:rFonts w:ascii="仿宋_GB2312" w:hAnsi="仿宋_GB2312" w:cs="仿宋_GB2312"/>
                <w:sz w:val="24"/>
              </w:rPr>
            </w:pPr>
          </w:p>
        </w:tc>
        <w:tc>
          <w:tcPr>
            <w:tcW w:w="2310"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标识和警告</w:t>
            </w:r>
          </w:p>
        </w:tc>
        <w:tc>
          <w:tcPr>
            <w:tcW w:w="2693" w:type="dxa"/>
            <w:shd w:val="clear" w:color="auto" w:fill="FFFFFF"/>
            <w:noWrap/>
            <w:vAlign w:val="center"/>
          </w:tcPr>
          <w:p w:rsidR="005E43EE" w:rsidRDefault="005E43EE" w:rsidP="001A7805">
            <w:pPr>
              <w:spacing w:line="400" w:lineRule="exact"/>
              <w:jc w:val="center"/>
              <w:rPr>
                <w:rFonts w:ascii="仿宋_GB2312" w:hAnsi="仿宋_GB2312" w:cs="仿宋_GB2312"/>
                <w:spacing w:val="-6"/>
                <w:sz w:val="24"/>
              </w:rPr>
            </w:pPr>
            <w:r>
              <w:rPr>
                <w:rFonts w:ascii="仿宋_GB2312" w:hAnsi="仿宋_GB2312" w:cs="仿宋_GB2312" w:hint="eastAsia"/>
                <w:spacing w:val="-6"/>
                <w:sz w:val="24"/>
              </w:rPr>
              <w:t>GB 6675.12-2014  4.17.1</w:t>
            </w: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3"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p>
        </w:tc>
        <w:tc>
          <w:tcPr>
            <w:tcW w:w="604" w:type="dxa"/>
            <w:shd w:val="clear" w:color="auto" w:fill="FFFFFF"/>
            <w:noWrap/>
            <w:vAlign w:val="center"/>
          </w:tcPr>
          <w:p w:rsidR="005E43EE" w:rsidRDefault="005E43EE" w:rsidP="001A7805">
            <w:pPr>
              <w:spacing w:line="400" w:lineRule="exact"/>
              <w:jc w:val="center"/>
              <w:rPr>
                <w:rFonts w:ascii="仿宋_GB2312" w:hAnsi="仿宋_GB2312" w:cs="仿宋_GB2312"/>
                <w:sz w:val="24"/>
              </w:rPr>
            </w:pPr>
            <w:r>
              <w:rPr>
                <w:rFonts w:ascii="仿宋_GB2312" w:hAnsi="仿宋_GB2312" w:cs="仿宋_GB2312" w:hint="eastAsia"/>
                <w:sz w:val="24"/>
              </w:rPr>
              <w:t>●</w:t>
            </w:r>
          </w:p>
        </w:tc>
        <w:tc>
          <w:tcPr>
            <w:tcW w:w="604" w:type="dxa"/>
            <w:shd w:val="clear" w:color="auto" w:fill="FFFFFF"/>
            <w:noWrap/>
            <w:vAlign w:val="center"/>
          </w:tcPr>
          <w:p w:rsidR="005E43EE" w:rsidRDefault="005E43EE" w:rsidP="001A7805">
            <w:pPr>
              <w:adjustRightInd w:val="0"/>
              <w:snapToGrid w:val="0"/>
              <w:spacing w:line="400" w:lineRule="exact"/>
              <w:jc w:val="center"/>
              <w:rPr>
                <w:rFonts w:ascii="仿宋_GB2312" w:hAnsi="仿宋_GB2312" w:cs="仿宋_GB2312"/>
                <w:sz w:val="24"/>
              </w:rPr>
            </w:pPr>
          </w:p>
        </w:tc>
      </w:tr>
    </w:tbl>
    <w:p w:rsidR="005E43EE" w:rsidRDefault="005E43EE" w:rsidP="00616848">
      <w:pPr>
        <w:adjustRightInd w:val="0"/>
        <w:snapToGrid w:val="0"/>
        <w:spacing w:beforeLines="10" w:afterLines="10" w:line="400" w:lineRule="exact"/>
        <w:rPr>
          <w:rFonts w:ascii="仿宋_GB2312"/>
          <w:sz w:val="24"/>
        </w:rPr>
      </w:pPr>
      <w:r>
        <w:rPr>
          <w:rFonts w:ascii="仿宋_GB2312" w:hint="eastAsia"/>
          <w:bCs/>
          <w:sz w:val="24"/>
        </w:rPr>
        <w:t>备注：</w:t>
      </w:r>
      <w:r w:rsidR="00920E03">
        <w:rPr>
          <w:rFonts w:ascii="仿宋_GB2312" w:hint="eastAsia"/>
          <w:bCs/>
          <w:sz w:val="24"/>
        </w:rPr>
        <w:fldChar w:fldCharType="begin"/>
      </w:r>
      <w:r>
        <w:rPr>
          <w:rFonts w:ascii="仿宋_GB2312" w:hint="eastAsia"/>
          <w:bCs/>
          <w:sz w:val="24"/>
        </w:rPr>
        <w:instrText xml:space="preserve"> = 1 \* GB3 </w:instrText>
      </w:r>
      <w:r w:rsidR="00920E03">
        <w:rPr>
          <w:rFonts w:ascii="仿宋_GB2312" w:hint="eastAsia"/>
          <w:bCs/>
          <w:sz w:val="24"/>
        </w:rPr>
        <w:fldChar w:fldCharType="separate"/>
      </w:r>
      <w:r>
        <w:rPr>
          <w:rFonts w:ascii="仿宋_GB2312" w:hint="eastAsia"/>
          <w:bCs/>
          <w:sz w:val="24"/>
        </w:rPr>
        <w:t>①</w:t>
      </w:r>
      <w:r w:rsidR="00920E03">
        <w:rPr>
          <w:rFonts w:ascii="仿宋_GB2312" w:hint="eastAsia"/>
          <w:bCs/>
          <w:sz w:val="24"/>
        </w:rPr>
        <w:fldChar w:fldCharType="end"/>
      </w:r>
      <w:r>
        <w:rPr>
          <w:rFonts w:ascii="仿宋_GB2312" w:hint="eastAsia"/>
          <w:bCs/>
          <w:sz w:val="24"/>
        </w:rPr>
        <w:t>仅对适用项目进行检测。</w:t>
      </w:r>
      <w:r w:rsidR="00920E03">
        <w:rPr>
          <w:rFonts w:ascii="仿宋_GB2312" w:hint="eastAsia"/>
          <w:bCs/>
          <w:sz w:val="24"/>
        </w:rPr>
        <w:fldChar w:fldCharType="begin"/>
      </w:r>
      <w:r>
        <w:rPr>
          <w:rFonts w:ascii="仿宋_GB2312" w:hint="eastAsia"/>
          <w:bCs/>
          <w:sz w:val="24"/>
        </w:rPr>
        <w:instrText xml:space="preserve"> = 2 \* GB3 </w:instrText>
      </w:r>
      <w:r w:rsidR="00920E03">
        <w:rPr>
          <w:rFonts w:ascii="仿宋_GB2312" w:hint="eastAsia"/>
          <w:bCs/>
          <w:sz w:val="24"/>
        </w:rPr>
        <w:fldChar w:fldCharType="separate"/>
      </w:r>
      <w:r>
        <w:rPr>
          <w:rFonts w:ascii="仿宋_GB2312" w:hint="eastAsia"/>
          <w:bCs/>
          <w:sz w:val="24"/>
        </w:rPr>
        <w:t>②</w:t>
      </w:r>
      <w:r w:rsidR="00920E03">
        <w:rPr>
          <w:rFonts w:ascii="仿宋_GB2312" w:hint="eastAsia"/>
          <w:bCs/>
          <w:sz w:val="24"/>
        </w:rPr>
        <w:fldChar w:fldCharType="end"/>
      </w:r>
      <w:r>
        <w:rPr>
          <w:rFonts w:ascii="仿宋_GB2312" w:hint="eastAsia"/>
          <w:bCs/>
          <w:sz w:val="24"/>
        </w:rPr>
        <w:t>当检验项目中含多个子项目时，标识类的子项目其重要程度为较重要项，仅标识类子项目不合格时，对应的检验项目不合格程度酌情下调。</w:t>
      </w:r>
    </w:p>
    <w:p w:rsidR="005E43EE" w:rsidRDefault="005E43EE" w:rsidP="005E43EE">
      <w:pPr>
        <w:spacing w:line="600" w:lineRule="exact"/>
        <w:ind w:firstLineChars="200" w:firstLine="640"/>
        <w:rPr>
          <w:rFonts w:eastAsia="黑体" w:cs="黑体"/>
          <w:szCs w:val="32"/>
        </w:rPr>
      </w:pPr>
      <w:r>
        <w:rPr>
          <w:rFonts w:eastAsia="黑体" w:cs="黑体" w:hint="eastAsia"/>
          <w:szCs w:val="32"/>
        </w:rPr>
        <w:t>三、判定规则</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（一）依据标准</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6675.1-2014 《玩具安全第1部分：基本规范》</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6675.2-2014 《玩具安全第2部分：机械与物理性能》</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6675.3-2014 《玩具安全第3部分：易燃性能》</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6675.4-2014 《玩具安全第4部分：特定元素的迁移》</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19865-2005《电玩具的安全》（适用于带电玩具）</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GB 6675.12-2014 《玩具安全第12部分：玩具滑板车》（适用于玩具滑板车）</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相关的法律法规、部门规章和规范、现行有效的企业标准、团体标准、地方标准及产品明示质量要求。</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（二）判定原则</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经检验，检验项目全部合格，判定为抽取的样本所检项目未检出不合格；检验项目中任一项或一项以上不合格，判定为被抽查产品不合格。</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当被检样品明示的质量要求优于监督抽查实施细则中依据的标准要求时，应按被检样品明示的质量要求判定；</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当被检样品明示的质量要求劣于或不包含监督抽查实施细则中依据的强制性标准要求时，应按照强制性标准要求判定；</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当被检样品明示的质量要求不包含监督抽查实施细则中依据的推荐性标准要求时，该指标不参与判定，但应在检验报告中作出说明；</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当被检样品未能提供有效的企业标准时，按相关国家或行业标准进行判定；</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5E43EE" w:rsidRDefault="005E43EE" w:rsidP="005E43EE">
      <w:pPr>
        <w:widowControl/>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按照产品质量相关法律法规的规定判定。</w:t>
      </w:r>
    </w:p>
    <w:p w:rsidR="00B10EF2" w:rsidRDefault="005E43EE" w:rsidP="005E43EE">
      <w:r>
        <w:rPr>
          <w:rFonts w:ascii="仿宋_GB2312" w:hAnsi="仿宋_GB2312" w:cs="仿宋_GB2312" w:hint="eastAsia"/>
          <w:color w:val="000000"/>
          <w:szCs w:val="32"/>
        </w:rPr>
        <w:t>检验中发现因样品失效或者其他原因致使检验无法进行的，检验人员应如实记录，并提供相关证明材料，报送组织监督抽查的市场监管部门</w:t>
      </w:r>
      <w:r>
        <w:rPr>
          <w:rFonts w:ascii="仿宋_GB2312" w:hAnsi="仿宋_GB2312" w:cs="仿宋_GB2312" w:hint="eastAsia"/>
          <w:kern w:val="0"/>
          <w:szCs w:val="32"/>
        </w:rPr>
        <w:t>。</w:t>
      </w:r>
    </w:p>
    <w:sectPr w:rsidR="00B10EF2" w:rsidSect="00B10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8D" w:rsidRDefault="0070488D" w:rsidP="00616848">
      <w:r>
        <w:separator/>
      </w:r>
    </w:p>
  </w:endnote>
  <w:endnote w:type="continuationSeparator" w:id="1">
    <w:p w:rsidR="0070488D" w:rsidRDefault="0070488D" w:rsidP="00616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8D" w:rsidRDefault="0070488D" w:rsidP="00616848">
      <w:r>
        <w:separator/>
      </w:r>
    </w:p>
  </w:footnote>
  <w:footnote w:type="continuationSeparator" w:id="1">
    <w:p w:rsidR="0070488D" w:rsidRDefault="0070488D" w:rsidP="00616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56DD"/>
    <w:multiLevelType w:val="multilevel"/>
    <w:tmpl w:val="43D756D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3EE"/>
    <w:rsid w:val="005E43EE"/>
    <w:rsid w:val="00616848"/>
    <w:rsid w:val="0070488D"/>
    <w:rsid w:val="00920E03"/>
    <w:rsid w:val="00B10EF2"/>
    <w:rsid w:val="00F72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E43EE"/>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5E43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uiPriority w:val="99"/>
    <w:unhideWhenUsed/>
    <w:qFormat/>
    <w:rsid w:val="005E43EE"/>
    <w:pPr>
      <w:widowControl w:val="0"/>
      <w:ind w:firstLineChars="200" w:firstLine="420"/>
      <w:jc w:val="both"/>
    </w:pPr>
    <w:rPr>
      <w:rFonts w:ascii="Times New Roman" w:eastAsia="仿宋_GB2312" w:hAnsi="Times New Roman" w:cs="Times New Roman"/>
      <w:sz w:val="30"/>
      <w:szCs w:val="24"/>
    </w:rPr>
  </w:style>
  <w:style w:type="character" w:customStyle="1" w:styleId="1Char">
    <w:name w:val="标题 1 Char"/>
    <w:basedOn w:val="a0"/>
    <w:link w:val="1"/>
    <w:uiPriority w:val="9"/>
    <w:rsid w:val="005E43EE"/>
    <w:rPr>
      <w:rFonts w:ascii="Times New Roman" w:eastAsia="仿宋_GB2312" w:hAnsi="Times New Roman" w:cs="Times New Roman"/>
      <w:b/>
      <w:bCs/>
      <w:kern w:val="44"/>
      <w:sz w:val="44"/>
      <w:szCs w:val="44"/>
    </w:rPr>
  </w:style>
  <w:style w:type="paragraph" w:styleId="a3">
    <w:name w:val="header"/>
    <w:basedOn w:val="a"/>
    <w:link w:val="Char"/>
    <w:uiPriority w:val="99"/>
    <w:semiHidden/>
    <w:unhideWhenUsed/>
    <w:rsid w:val="00616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6848"/>
    <w:rPr>
      <w:rFonts w:ascii="Times New Roman" w:eastAsia="仿宋_GB2312" w:hAnsi="Times New Roman" w:cs="Times New Roman"/>
      <w:sz w:val="18"/>
      <w:szCs w:val="18"/>
    </w:rPr>
  </w:style>
  <w:style w:type="paragraph" w:styleId="a4">
    <w:name w:val="footer"/>
    <w:basedOn w:val="a"/>
    <w:link w:val="Char0"/>
    <w:uiPriority w:val="99"/>
    <w:semiHidden/>
    <w:unhideWhenUsed/>
    <w:rsid w:val="006168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684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1818</Characters>
  <Application>Microsoft Office Word</Application>
  <DocSecurity>0</DocSecurity>
  <Lines>181</Lines>
  <Paragraphs>225</Paragraphs>
  <ScaleCrop>false</ScaleCrop>
  <Company>神州网信技术有限公司</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dc:creator>
  <cp:lastModifiedBy>LGK</cp:lastModifiedBy>
  <cp:revision>2</cp:revision>
  <dcterms:created xsi:type="dcterms:W3CDTF">2023-05-05T06:52:00Z</dcterms:created>
  <dcterms:modified xsi:type="dcterms:W3CDTF">2023-05-05T06:52:00Z</dcterms:modified>
</cp:coreProperties>
</file>