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7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545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2023-2026年广东三水云东海国家湿地公园沿湖路道路保洁项目</w:t>
            </w:r>
            <w:r>
              <w:rPr>
                <w:highlight w:val="none"/>
              </w:rPr>
              <w:t>考核</w:t>
            </w: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满分：100分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3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具体内容</w:t>
            </w:r>
            <w:bookmarkStart w:id="0" w:name="_GoBack"/>
            <w:bookmarkEnd w:id="0"/>
          </w:p>
        </w:tc>
        <w:tc>
          <w:tcPr>
            <w:tcW w:w="1045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扣分情况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523" w:type="pct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一、道路保洁</w:t>
            </w: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扫地车洗扫后路面扔有果皮、纸屑、烟头、污水污泥，街道每平方米扣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2、扫地车洗扫后有花扫，带痕、有块状漏撒（成片、成线）边子浮沙或起锅巴皮的每5米扣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分。     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3、扫地车不按要求在规定线路进行清扫，扣5分。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2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作业时，未使用警示信号的每次扣3分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5、作业过程中漏扫，扣5分。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6、扫地车接完水不关闭水阀，扣5分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523" w:type="pct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二、人行道道路保洁</w:t>
            </w:r>
          </w:p>
        </w:tc>
        <w:tc>
          <w:tcPr>
            <w:tcW w:w="3430" w:type="pct"/>
            <w:noWrap w:val="0"/>
            <w:vAlign w:val="top"/>
          </w:tcPr>
          <w:p>
            <w:pPr>
              <w:jc w:val="both"/>
              <w:rPr>
                <w:rFonts w:hint="eastAsia" w:eastAsiaTheme="minorEastAsia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color w:val="000000"/>
                <w:sz w:val="21"/>
                <w:highlight w:val="none"/>
              </w:rPr>
              <w:t>1、</w:t>
            </w:r>
            <w:r>
              <w:rPr>
                <w:sz w:val="21"/>
                <w:highlight w:val="none"/>
              </w:rPr>
              <w:t>未按时完成普扫的；普扫质量较差，明显不洁或漏扫。每发现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1</w:t>
            </w:r>
            <w:r>
              <w:rPr>
                <w:sz w:val="21"/>
                <w:highlight w:val="none"/>
              </w:rPr>
              <w:t>处问题，扣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1</w:t>
            </w:r>
            <w:r>
              <w:rPr>
                <w:sz w:val="21"/>
                <w:highlight w:val="none"/>
              </w:rPr>
              <w:t>分</w:t>
            </w:r>
            <w:r>
              <w:rPr>
                <w:color w:val="000000"/>
                <w:sz w:val="21"/>
                <w:highlight w:val="none"/>
              </w:rPr>
              <w:t>；</w:t>
            </w:r>
          </w:p>
        </w:tc>
        <w:tc>
          <w:tcPr>
            <w:tcW w:w="1045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30" w:type="pct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2、</w:t>
            </w:r>
            <w:r>
              <w:rPr>
                <w:sz w:val="21"/>
                <w:highlight w:val="none"/>
              </w:rPr>
              <w:t>未按时按标准清运垃圾，发现一次扣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2</w:t>
            </w:r>
            <w:r>
              <w:rPr>
                <w:sz w:val="21"/>
                <w:highlight w:val="none"/>
              </w:rPr>
              <w:t>分</w:t>
            </w:r>
            <w:r>
              <w:rPr>
                <w:color w:val="000000"/>
                <w:sz w:val="21"/>
                <w:highlight w:val="none"/>
              </w:rPr>
              <w:t>；</w:t>
            </w:r>
          </w:p>
        </w:tc>
        <w:tc>
          <w:tcPr>
            <w:tcW w:w="1045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30" w:type="pct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3、</w:t>
            </w:r>
            <w:r>
              <w:rPr>
                <w:sz w:val="21"/>
                <w:highlight w:val="none"/>
              </w:rPr>
              <w:t>路面、垃圾桶有散落垃圾及淤泥等未清理，垃圾桶摆放不整齐。每发现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1</w:t>
            </w:r>
            <w:r>
              <w:rPr>
                <w:sz w:val="21"/>
                <w:highlight w:val="none"/>
              </w:rPr>
              <w:t>处问题，扣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1</w:t>
            </w:r>
            <w:r>
              <w:rPr>
                <w:sz w:val="21"/>
                <w:highlight w:val="none"/>
              </w:rPr>
              <w:t>分</w:t>
            </w:r>
            <w:r>
              <w:rPr>
                <w:color w:val="000000"/>
                <w:sz w:val="21"/>
                <w:highlight w:val="none"/>
              </w:rPr>
              <w:t>。</w:t>
            </w:r>
          </w:p>
        </w:tc>
        <w:tc>
          <w:tcPr>
            <w:tcW w:w="1045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4、</w:t>
            </w:r>
            <w:r>
              <w:rPr>
                <w:color w:val="000000"/>
                <w:sz w:val="21"/>
                <w:highlight w:val="none"/>
              </w:rPr>
              <w:t>垃圾收集容器破损、脏污、满溢、不及时清掏，每个扣</w:t>
            </w: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color w:val="000000"/>
                <w:sz w:val="21"/>
                <w:highlight w:val="none"/>
              </w:rPr>
              <w:t>分。</w:t>
            </w:r>
          </w:p>
        </w:tc>
        <w:tc>
          <w:tcPr>
            <w:tcW w:w="1045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pct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二、其他管理</w:t>
            </w: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1、没有依时、足额发放工资的每次扣2分；人员变动情况、工资的发放记录和购买社保的记录没有按规定上报采购人的，每次扣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分。按合同要求雇佣工作人员，报送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备案，如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检查发现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相应岗位用人不足，每次扣2分。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2、没有为项目工作人员配备统一工作着装、安全标志、反光衣和必要时劳保用品的扣3分，项目工作人员没有按规定穿戴的每人次扣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、乱倾倒垃圾的，每发现一次扣1.5分。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在日常管理中，如迎检突击、抗风排涝、事故处理等应急工作在收到通知的15分钟内仍未作出有效响应的，每次扣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机动车道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上作业时保洁人员未穿戴有反光标志的服饰，保洁路面、道路隔离栏栅等时未设置警示标志的，每项扣2分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23" w:type="pct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三、安全管理</w:t>
            </w:r>
          </w:p>
        </w:tc>
        <w:tc>
          <w:tcPr>
            <w:tcW w:w="343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1、用警示信号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喇叭没有声音每次扣5分。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2、未严格按照作业标准操作因而发生的重大事故，由服务单位负责全部赔偿，并每次扣10分。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3、清扫路面时速或噪音过大等原因造成市民人身财产安全受到威胁， 每次扣5分。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  <w:jc w:val="center"/>
        </w:trPr>
        <w:tc>
          <w:tcPr>
            <w:tcW w:w="523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4、作业过程中发现路面损坏时，不及时报告相关部门，扣10分。</w:t>
            </w:r>
          </w:p>
        </w:tc>
        <w:tc>
          <w:tcPr>
            <w:tcW w:w="1045" w:type="pc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23" w:type="pct"/>
            <w:vMerge w:val="continue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5、作业时发生重大安全隐患，不采取措施进行处理，或及时报告上级部门，扣10分。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23" w:type="pct"/>
            <w:vMerge w:val="continue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6、因不文明作业或未按操作规程作业等原因引起市民投诉的，经查确属驾驶员责任的，每次扣10分。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23" w:type="pct"/>
            <w:vMerge w:val="continue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0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疏于管理，发生有责轻微安全事故的，每次扣2分；造成人身伤害的，每人次扣5分；造成人员死亡的，每次扣20分。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954" w:type="pct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合计扣分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954" w:type="pct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总得分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954" w:type="pct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采购人验收代表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954" w:type="pct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成交供应商验收代表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954" w:type="pct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1045" w:type="pct"/>
          </w:tcPr>
          <w:p>
            <w:pPr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jRiOGVjNTlkZTUxZGE3ODY2ZTEzMzA1ODUyNTcifQ=="/>
  </w:docVars>
  <w:rsids>
    <w:rsidRoot w:val="73C40020"/>
    <w:rsid w:val="73C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  <w:rPr>
      <w:szCs w:val="24"/>
    </w:rPr>
  </w:style>
  <w:style w:type="paragraph" w:customStyle="1" w:styleId="5">
    <w:name w:val="表格文字"/>
    <w:basedOn w:val="1"/>
    <w:qFormat/>
    <w:uiPriority w:val="0"/>
    <w:pPr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2023-04-19T07:08:00Z</dcterms:created>
  <dc:creator>1</dc:creator>
  <cp:lastModifiedBy>1</cp:lastModifiedBy>
  <dcterms:modified xsi:type="dcterms:W3CDTF">2023-04-19T07:08:51Z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2E40DF1BBABD4C96B3BBB1256C123205_11</vt:lpwstr>
  </property>
</Properties>
</file>