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4F" w:rsidRDefault="00D67C4F">
      <w:pPr>
        <w:pStyle w:val="a0"/>
      </w:pPr>
    </w:p>
    <w:p w:rsidR="00D67C4F" w:rsidRDefault="00E56726">
      <w:pPr>
        <w:spacing w:line="600" w:lineRule="exact"/>
        <w:jc w:val="center"/>
        <w:rPr>
          <w:rFonts w:eastAsia="方正小标宋简体" w:cs="方正仿宋简体"/>
          <w:color w:val="000000"/>
          <w:sz w:val="44"/>
          <w:szCs w:val="44"/>
        </w:rPr>
      </w:pPr>
      <w:r>
        <w:rPr>
          <w:rFonts w:eastAsia="方正小标宋简体" w:cs="方正仿宋简体" w:hint="eastAsia"/>
          <w:color w:val="000000"/>
          <w:sz w:val="44"/>
          <w:szCs w:val="44"/>
        </w:rPr>
        <w:t>佛山市三水区</w:t>
      </w:r>
      <w:r w:rsidR="00D80685">
        <w:rPr>
          <w:rFonts w:eastAsia="方正小标宋简体" w:cs="方正仿宋简体"/>
          <w:color w:val="000000"/>
          <w:sz w:val="44"/>
          <w:szCs w:val="44"/>
        </w:rPr>
        <w:t>校服产品质量监督抽查实施细则</w:t>
      </w:r>
    </w:p>
    <w:p w:rsidR="00D67C4F" w:rsidRDefault="00D67C4F">
      <w:pPr>
        <w:pStyle w:val="a4"/>
        <w:tabs>
          <w:tab w:val="clear" w:pos="4201"/>
          <w:tab w:val="clear" w:pos="9298"/>
        </w:tabs>
        <w:spacing w:line="520" w:lineRule="exact"/>
        <w:ind w:firstLine="640"/>
        <w:rPr>
          <w:rFonts w:ascii="黑体" w:eastAsia="黑体" w:hAnsi="黑体" w:cs="仿宋_GB2312"/>
          <w:sz w:val="32"/>
          <w:szCs w:val="32"/>
        </w:rPr>
      </w:pPr>
    </w:p>
    <w:p w:rsidR="00D67C4F" w:rsidRDefault="00D80685">
      <w:pPr>
        <w:pStyle w:val="a4"/>
        <w:tabs>
          <w:tab w:val="clear" w:pos="4201"/>
          <w:tab w:val="clear" w:pos="9298"/>
        </w:tabs>
        <w:spacing w:line="600" w:lineRule="exact"/>
        <w:ind w:firstLine="640"/>
        <w:rPr>
          <w:rFonts w:ascii="黑体" w:eastAsia="黑体" w:hAnsi="黑体" w:cs="仿宋_GB2312"/>
          <w:sz w:val="32"/>
          <w:szCs w:val="32"/>
        </w:rPr>
      </w:pPr>
      <w:r>
        <w:rPr>
          <w:rFonts w:ascii="黑体" w:eastAsia="黑体" w:hAnsi="黑体" w:cs="仿宋_GB2312" w:hint="eastAsia"/>
          <w:sz w:val="32"/>
          <w:szCs w:val="32"/>
        </w:rPr>
        <w:t>一、</w:t>
      </w:r>
      <w:r>
        <w:rPr>
          <w:rFonts w:ascii="黑体" w:eastAsia="黑体" w:hAnsi="黑体" w:cs="仿宋_GB2312"/>
          <w:sz w:val="32"/>
          <w:szCs w:val="32"/>
        </w:rPr>
        <w:t>抽样方法</w:t>
      </w:r>
    </w:p>
    <w:p w:rsidR="00D67C4F" w:rsidRDefault="00D80685">
      <w:pPr>
        <w:pStyle w:val="a4"/>
        <w:tabs>
          <w:tab w:val="clear" w:pos="4201"/>
          <w:tab w:val="clear" w:pos="9298"/>
        </w:tabs>
        <w:spacing w:line="600" w:lineRule="exact"/>
        <w:ind w:firstLine="640"/>
        <w:rPr>
          <w:rFonts w:ascii="仿宋_GB2312" w:hAnsi="仿宋_GB2312" w:cs="仿宋_GB2312"/>
          <w:sz w:val="5"/>
          <w:szCs w:val="5"/>
        </w:rPr>
      </w:pPr>
      <w:r>
        <w:rPr>
          <w:rFonts w:ascii="Times New Roman" w:eastAsia="仿宋_GB2312" w:hAnsi="Times New Roman"/>
          <w:sz w:val="32"/>
          <w:szCs w:val="32"/>
        </w:rPr>
        <w:t>以随机抽样的方式在被抽样经营者的待销产品</w:t>
      </w:r>
      <w:r>
        <w:rPr>
          <w:rFonts w:ascii="Times New Roman" w:eastAsia="仿宋_GB2312" w:hAnsi="Times New Roman" w:hint="eastAsia"/>
          <w:sz w:val="32"/>
          <w:szCs w:val="32"/>
        </w:rPr>
        <w:t>、学校或幼儿园仓库</w:t>
      </w:r>
      <w:r>
        <w:rPr>
          <w:rFonts w:ascii="Times New Roman" w:eastAsia="仿宋_GB2312" w:hAnsi="Times New Roman"/>
          <w:sz w:val="32"/>
          <w:szCs w:val="32"/>
        </w:rPr>
        <w:t>中抽取。随机数一般可使用随机数表等方法产生。抽查数量：每款产品抽取</w:t>
      </w:r>
      <w:r>
        <w:rPr>
          <w:rFonts w:ascii="Times New Roman" w:eastAsia="仿宋_GB2312" w:hAnsi="Times New Roman"/>
          <w:sz w:val="32"/>
          <w:szCs w:val="32"/>
        </w:rPr>
        <w:t>2</w:t>
      </w:r>
      <w:r>
        <w:rPr>
          <w:rFonts w:ascii="Times New Roman" w:eastAsia="仿宋_GB2312" w:hAnsi="Times New Roman"/>
          <w:sz w:val="32"/>
          <w:szCs w:val="32"/>
        </w:rPr>
        <w:t>组样本，第</w:t>
      </w:r>
      <w:r>
        <w:rPr>
          <w:rFonts w:ascii="Times New Roman" w:eastAsia="仿宋_GB2312" w:hAnsi="Times New Roman"/>
          <w:sz w:val="32"/>
          <w:szCs w:val="32"/>
        </w:rPr>
        <w:t>1</w:t>
      </w:r>
      <w:r>
        <w:rPr>
          <w:rFonts w:ascii="Times New Roman" w:eastAsia="仿宋_GB2312" w:hAnsi="Times New Roman"/>
          <w:sz w:val="32"/>
          <w:szCs w:val="32"/>
        </w:rPr>
        <w:t>组用于检验，第</w:t>
      </w:r>
      <w:r>
        <w:rPr>
          <w:rFonts w:ascii="Times New Roman" w:eastAsia="仿宋_GB2312" w:hAnsi="Times New Roman"/>
          <w:sz w:val="32"/>
          <w:szCs w:val="32"/>
        </w:rPr>
        <w:t>2</w:t>
      </w:r>
      <w:r>
        <w:rPr>
          <w:rFonts w:ascii="Times New Roman" w:eastAsia="仿宋_GB2312" w:hAnsi="Times New Roman"/>
          <w:sz w:val="32"/>
          <w:szCs w:val="32"/>
        </w:rPr>
        <w:t>组用于备样。每组样本需抽取样品数量如下表所示：</w:t>
      </w:r>
    </w:p>
    <w:tbl>
      <w:tblPr>
        <w:tblStyle w:val="TableNormal"/>
        <w:tblW w:w="8500" w:type="dxa"/>
        <w:jc w:val="center"/>
        <w:tblInd w:w="0" w:type="dxa"/>
        <w:tblLayout w:type="fixed"/>
        <w:tblLook w:val="04A0"/>
      </w:tblPr>
      <w:tblGrid>
        <w:gridCol w:w="2710"/>
        <w:gridCol w:w="3052"/>
        <w:gridCol w:w="2738"/>
      </w:tblGrid>
      <w:tr w:rsidR="00D67C4F">
        <w:trPr>
          <w:trHeight w:val="23"/>
          <w:jc w:val="center"/>
        </w:trPr>
        <w:tc>
          <w:tcPr>
            <w:tcW w:w="271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400" w:lineRule="exact"/>
              <w:jc w:val="center"/>
              <w:rPr>
                <w:rFonts w:ascii="黑体" w:eastAsia="黑体" w:hAnsi="黑体" w:cs="黑体"/>
                <w:bCs/>
                <w:color w:val="000000"/>
                <w:sz w:val="21"/>
                <w:szCs w:val="21"/>
              </w:rPr>
            </w:pPr>
            <w:r>
              <w:rPr>
                <w:rFonts w:ascii="黑体" w:eastAsia="黑体" w:hAnsi="黑体" w:cs="黑体" w:hint="eastAsia"/>
                <w:bCs/>
                <w:color w:val="000000"/>
                <w:sz w:val="21"/>
                <w:szCs w:val="21"/>
              </w:rPr>
              <w:t>产品类别</w:t>
            </w:r>
          </w:p>
        </w:tc>
        <w:tc>
          <w:tcPr>
            <w:tcW w:w="3052"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400" w:lineRule="exact"/>
              <w:jc w:val="center"/>
              <w:rPr>
                <w:rFonts w:ascii="黑体" w:eastAsia="黑体" w:hAnsi="黑体" w:cs="黑体"/>
                <w:bCs/>
                <w:color w:val="000000"/>
                <w:sz w:val="21"/>
                <w:szCs w:val="21"/>
              </w:rPr>
            </w:pPr>
            <w:r>
              <w:rPr>
                <w:rFonts w:ascii="黑体" w:eastAsia="黑体" w:hAnsi="黑体" w:cs="黑体" w:hint="eastAsia"/>
                <w:bCs/>
                <w:color w:val="000000"/>
                <w:sz w:val="21"/>
                <w:szCs w:val="21"/>
              </w:rPr>
              <w:t>第</w:t>
            </w:r>
            <w:r>
              <w:rPr>
                <w:rFonts w:ascii="黑体" w:eastAsia="黑体" w:hAnsi="黑体" w:cs="黑体" w:hint="eastAsia"/>
                <w:bCs/>
                <w:color w:val="000000"/>
                <w:sz w:val="21"/>
                <w:szCs w:val="21"/>
              </w:rPr>
              <w:t>1</w:t>
            </w:r>
            <w:r>
              <w:rPr>
                <w:rFonts w:ascii="黑体" w:eastAsia="黑体" w:hAnsi="黑体" w:cs="黑体" w:hint="eastAsia"/>
                <w:bCs/>
                <w:color w:val="000000"/>
                <w:sz w:val="21"/>
                <w:szCs w:val="21"/>
              </w:rPr>
              <w:t>组数量</w:t>
            </w:r>
          </w:p>
        </w:tc>
        <w:tc>
          <w:tcPr>
            <w:tcW w:w="273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400" w:lineRule="exact"/>
              <w:jc w:val="center"/>
              <w:rPr>
                <w:rFonts w:ascii="黑体" w:eastAsia="黑体" w:hAnsi="黑体" w:cs="黑体"/>
                <w:bCs/>
                <w:color w:val="000000"/>
                <w:sz w:val="21"/>
                <w:szCs w:val="21"/>
              </w:rPr>
            </w:pPr>
            <w:r>
              <w:rPr>
                <w:rFonts w:ascii="黑体" w:eastAsia="黑体" w:hAnsi="黑体" w:cs="黑体" w:hint="eastAsia"/>
                <w:bCs/>
                <w:color w:val="000000"/>
                <w:sz w:val="21"/>
                <w:szCs w:val="21"/>
              </w:rPr>
              <w:t>第</w:t>
            </w:r>
            <w:r>
              <w:rPr>
                <w:rFonts w:ascii="黑体" w:eastAsia="黑体" w:hAnsi="黑体" w:cs="黑体" w:hint="eastAsia"/>
                <w:bCs/>
                <w:color w:val="000000"/>
                <w:sz w:val="21"/>
                <w:szCs w:val="21"/>
              </w:rPr>
              <w:t>2</w:t>
            </w:r>
            <w:r>
              <w:rPr>
                <w:rFonts w:ascii="黑体" w:eastAsia="黑体" w:hAnsi="黑体" w:cs="黑体" w:hint="eastAsia"/>
                <w:bCs/>
                <w:color w:val="000000"/>
                <w:sz w:val="21"/>
                <w:szCs w:val="21"/>
              </w:rPr>
              <w:t>组数量</w:t>
            </w:r>
          </w:p>
        </w:tc>
      </w:tr>
      <w:tr w:rsidR="00D67C4F">
        <w:trPr>
          <w:trHeight w:val="23"/>
          <w:jc w:val="center"/>
        </w:trPr>
        <w:tc>
          <w:tcPr>
            <w:tcW w:w="2710" w:type="dxa"/>
            <w:tcBorders>
              <w:top w:val="single" w:sz="4" w:space="0" w:color="000000"/>
              <w:left w:val="single" w:sz="4" w:space="0" w:color="000000"/>
              <w:bottom w:val="single" w:sz="4" w:space="0" w:color="000000"/>
              <w:right w:val="single" w:sz="4" w:space="0" w:color="000000"/>
            </w:tcBorders>
            <w:noWrap/>
          </w:tcPr>
          <w:p w:rsidR="00D67C4F" w:rsidRDefault="00D80685">
            <w:pPr>
              <w:widowControl/>
              <w:snapToGrid w:val="0"/>
              <w:spacing w:line="400" w:lineRule="exact"/>
              <w:jc w:val="center"/>
              <w:rPr>
                <w:color w:val="000000"/>
                <w:sz w:val="24"/>
              </w:rPr>
            </w:pPr>
            <w:r>
              <w:rPr>
                <w:color w:val="000000"/>
                <w:sz w:val="24"/>
              </w:rPr>
              <w:t>校服</w:t>
            </w:r>
          </w:p>
        </w:tc>
        <w:tc>
          <w:tcPr>
            <w:tcW w:w="3052" w:type="dxa"/>
            <w:tcBorders>
              <w:top w:val="single" w:sz="4" w:space="0" w:color="000000"/>
              <w:left w:val="single" w:sz="4" w:space="0" w:color="000000"/>
              <w:bottom w:val="single" w:sz="4" w:space="0" w:color="000000"/>
              <w:right w:val="single" w:sz="4" w:space="0" w:color="000000"/>
            </w:tcBorders>
            <w:noWrap/>
          </w:tcPr>
          <w:p w:rsidR="00D67C4F" w:rsidRDefault="00D80685">
            <w:pPr>
              <w:widowControl/>
              <w:snapToGrid w:val="0"/>
              <w:spacing w:line="400" w:lineRule="exact"/>
              <w:jc w:val="center"/>
              <w:rPr>
                <w:color w:val="000000"/>
                <w:sz w:val="24"/>
              </w:rPr>
            </w:pPr>
            <w:r>
              <w:rPr>
                <w:color w:val="000000"/>
                <w:sz w:val="24"/>
              </w:rPr>
              <w:t>1</w:t>
            </w:r>
            <w:r>
              <w:rPr>
                <w:color w:val="000000"/>
                <w:sz w:val="24"/>
              </w:rPr>
              <w:t>件</w:t>
            </w:r>
            <w:r>
              <w:rPr>
                <w:color w:val="000000"/>
                <w:sz w:val="24"/>
              </w:rPr>
              <w:t>/</w:t>
            </w:r>
            <w:r>
              <w:rPr>
                <w:color w:val="000000"/>
                <w:sz w:val="24"/>
              </w:rPr>
              <w:t>条</w:t>
            </w:r>
            <w:r>
              <w:rPr>
                <w:color w:val="000000"/>
                <w:sz w:val="24"/>
              </w:rPr>
              <w:t>/</w:t>
            </w:r>
            <w:r>
              <w:rPr>
                <w:color w:val="000000"/>
                <w:sz w:val="24"/>
              </w:rPr>
              <w:t>套</w:t>
            </w:r>
          </w:p>
        </w:tc>
        <w:tc>
          <w:tcPr>
            <w:tcW w:w="2738" w:type="dxa"/>
            <w:tcBorders>
              <w:top w:val="single" w:sz="4" w:space="0" w:color="000000"/>
              <w:left w:val="single" w:sz="4" w:space="0" w:color="000000"/>
              <w:bottom w:val="single" w:sz="4" w:space="0" w:color="000000"/>
              <w:right w:val="single" w:sz="4" w:space="0" w:color="000000"/>
            </w:tcBorders>
            <w:noWrap/>
          </w:tcPr>
          <w:p w:rsidR="00D67C4F" w:rsidRDefault="00D80685">
            <w:pPr>
              <w:widowControl/>
              <w:snapToGrid w:val="0"/>
              <w:spacing w:line="400" w:lineRule="exact"/>
              <w:jc w:val="center"/>
              <w:rPr>
                <w:color w:val="000000"/>
                <w:sz w:val="24"/>
              </w:rPr>
            </w:pPr>
            <w:r>
              <w:rPr>
                <w:color w:val="000000"/>
                <w:sz w:val="24"/>
              </w:rPr>
              <w:t>1</w:t>
            </w:r>
            <w:r>
              <w:rPr>
                <w:color w:val="000000"/>
                <w:sz w:val="24"/>
              </w:rPr>
              <w:t>件</w:t>
            </w:r>
            <w:r>
              <w:rPr>
                <w:color w:val="000000"/>
                <w:sz w:val="24"/>
              </w:rPr>
              <w:t>/</w:t>
            </w:r>
            <w:r>
              <w:rPr>
                <w:color w:val="000000"/>
                <w:sz w:val="24"/>
              </w:rPr>
              <w:t>条</w:t>
            </w:r>
            <w:r>
              <w:rPr>
                <w:color w:val="000000"/>
                <w:sz w:val="24"/>
              </w:rPr>
              <w:t>/</w:t>
            </w:r>
            <w:r>
              <w:rPr>
                <w:color w:val="000000"/>
                <w:sz w:val="24"/>
              </w:rPr>
              <w:t>套</w:t>
            </w:r>
          </w:p>
        </w:tc>
      </w:tr>
      <w:tr w:rsidR="00D67C4F">
        <w:trPr>
          <w:trHeight w:val="23"/>
          <w:jc w:val="center"/>
        </w:trPr>
        <w:tc>
          <w:tcPr>
            <w:tcW w:w="8500" w:type="dxa"/>
            <w:gridSpan w:val="3"/>
            <w:tcBorders>
              <w:top w:val="single" w:sz="4" w:space="0" w:color="000000"/>
              <w:left w:val="single" w:sz="4" w:space="0" w:color="000000"/>
              <w:bottom w:val="single" w:sz="4" w:space="0" w:color="000000"/>
              <w:right w:val="single" w:sz="4" w:space="0" w:color="000000"/>
            </w:tcBorders>
            <w:noWrap/>
          </w:tcPr>
          <w:p w:rsidR="00D67C4F" w:rsidRDefault="00D80685">
            <w:pPr>
              <w:widowControl/>
              <w:snapToGrid w:val="0"/>
              <w:spacing w:line="400" w:lineRule="exact"/>
              <w:jc w:val="center"/>
              <w:rPr>
                <w:color w:val="000000"/>
                <w:sz w:val="24"/>
              </w:rPr>
            </w:pPr>
            <w:r>
              <w:rPr>
                <w:color w:val="000000"/>
                <w:sz w:val="24"/>
              </w:rPr>
              <w:t>备注：样品为短裤或尺码较小时，检验数量适当增加</w:t>
            </w:r>
            <w:r>
              <w:rPr>
                <w:color w:val="000000"/>
                <w:sz w:val="24"/>
              </w:rPr>
              <w:t>1</w:t>
            </w:r>
            <w:r>
              <w:rPr>
                <w:color w:val="000000"/>
                <w:sz w:val="24"/>
              </w:rPr>
              <w:t>件</w:t>
            </w:r>
            <w:r>
              <w:rPr>
                <w:color w:val="000000"/>
                <w:sz w:val="24"/>
              </w:rPr>
              <w:t>/</w:t>
            </w:r>
            <w:r>
              <w:rPr>
                <w:color w:val="000000"/>
                <w:sz w:val="24"/>
              </w:rPr>
              <w:t>条</w:t>
            </w:r>
            <w:r>
              <w:rPr>
                <w:color w:val="000000"/>
                <w:sz w:val="24"/>
              </w:rPr>
              <w:t>/</w:t>
            </w:r>
            <w:r>
              <w:rPr>
                <w:color w:val="000000"/>
                <w:sz w:val="24"/>
              </w:rPr>
              <w:t>套</w:t>
            </w:r>
          </w:p>
        </w:tc>
      </w:tr>
    </w:tbl>
    <w:p w:rsidR="00D67C4F" w:rsidRDefault="00D80685">
      <w:pPr>
        <w:pStyle w:val="a4"/>
        <w:tabs>
          <w:tab w:val="clear" w:pos="4201"/>
          <w:tab w:val="clear" w:pos="9298"/>
        </w:tabs>
        <w:spacing w:line="600" w:lineRule="exact"/>
        <w:ind w:firstLine="640"/>
        <w:rPr>
          <w:rFonts w:ascii="仿宋_GB2312" w:eastAsia="仿宋_GB2312" w:hAnsi="仿宋_GB2312" w:cs="仿宋_GB2312"/>
          <w:sz w:val="32"/>
          <w:szCs w:val="32"/>
        </w:rPr>
      </w:pPr>
      <w:r>
        <w:rPr>
          <w:rFonts w:ascii="黑体" w:eastAsia="黑体" w:hAnsi="黑体" w:cs="仿宋_GB2312"/>
          <w:sz w:val="32"/>
          <w:szCs w:val="32"/>
        </w:rPr>
        <w:t>二、主要检验项目及检验项目属性划分</w:t>
      </w:r>
    </w:p>
    <w:tbl>
      <w:tblPr>
        <w:tblStyle w:val="TableNormal"/>
        <w:tblW w:w="8514" w:type="dxa"/>
        <w:jc w:val="center"/>
        <w:tblInd w:w="0" w:type="dxa"/>
        <w:tblLayout w:type="fixed"/>
        <w:tblLook w:val="04A0"/>
      </w:tblPr>
      <w:tblGrid>
        <w:gridCol w:w="531"/>
        <w:gridCol w:w="1628"/>
        <w:gridCol w:w="2127"/>
        <w:gridCol w:w="850"/>
        <w:gridCol w:w="709"/>
        <w:gridCol w:w="962"/>
        <w:gridCol w:w="765"/>
        <w:gridCol w:w="942"/>
      </w:tblGrid>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pStyle w:val="TableParagraph"/>
              <w:spacing w:line="320" w:lineRule="exact"/>
              <w:jc w:val="center"/>
              <w:rPr>
                <w:rFonts w:ascii="黑体" w:eastAsia="黑体" w:hAnsi="黑体" w:cs="黑体"/>
                <w:bCs/>
                <w:sz w:val="21"/>
                <w:szCs w:val="21"/>
              </w:rPr>
            </w:pPr>
            <w:r>
              <w:rPr>
                <w:rFonts w:ascii="黑体" w:eastAsia="黑体" w:hAnsi="黑体" w:cs="黑体" w:hint="eastAsia"/>
                <w:bCs/>
                <w:sz w:val="21"/>
                <w:szCs w:val="21"/>
              </w:rPr>
              <w:t>序号</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pStyle w:val="TableParagraph"/>
              <w:spacing w:line="320" w:lineRule="exact"/>
              <w:jc w:val="center"/>
              <w:rPr>
                <w:rFonts w:ascii="黑体" w:eastAsia="黑体" w:hAnsi="黑体" w:cs="黑体"/>
                <w:bCs/>
                <w:sz w:val="21"/>
                <w:szCs w:val="21"/>
              </w:rPr>
            </w:pPr>
            <w:r>
              <w:rPr>
                <w:rFonts w:ascii="黑体" w:eastAsia="黑体" w:hAnsi="黑体" w:cs="黑体" w:hint="eastAsia"/>
                <w:bCs/>
                <w:sz w:val="21"/>
                <w:szCs w:val="21"/>
              </w:rPr>
              <w:t>检验项目</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pStyle w:val="TableParagraph"/>
              <w:spacing w:line="320" w:lineRule="exact"/>
              <w:jc w:val="center"/>
              <w:rPr>
                <w:rFonts w:ascii="黑体" w:eastAsia="黑体" w:hAnsi="黑体" w:cs="黑体"/>
                <w:bCs/>
                <w:sz w:val="21"/>
                <w:szCs w:val="21"/>
              </w:rPr>
            </w:pPr>
            <w:r>
              <w:rPr>
                <w:rFonts w:ascii="黑体" w:eastAsia="黑体" w:hAnsi="黑体" w:cs="黑体" w:hint="eastAsia"/>
                <w:bCs/>
                <w:sz w:val="21"/>
                <w:szCs w:val="21"/>
              </w:rPr>
              <w:t>检验方法</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pStyle w:val="TableParagraph"/>
              <w:spacing w:line="320" w:lineRule="exact"/>
              <w:jc w:val="center"/>
              <w:rPr>
                <w:rFonts w:ascii="黑体" w:eastAsia="黑体" w:hAnsi="黑体" w:cs="黑体"/>
                <w:bCs/>
                <w:sz w:val="21"/>
                <w:szCs w:val="21"/>
              </w:rPr>
            </w:pPr>
            <w:r>
              <w:rPr>
                <w:rFonts w:ascii="黑体" w:eastAsia="黑体" w:hAnsi="黑体" w:cs="黑体" w:hint="eastAsia"/>
                <w:bCs/>
                <w:sz w:val="21"/>
                <w:szCs w:val="21"/>
              </w:rPr>
              <w:t>强制性</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80685">
            <w:pPr>
              <w:pStyle w:val="TableParagraph"/>
              <w:spacing w:line="320" w:lineRule="exact"/>
              <w:ind w:left="136"/>
              <w:rPr>
                <w:rFonts w:ascii="黑体" w:eastAsia="黑体" w:hAnsi="黑体" w:cs="黑体"/>
                <w:bCs/>
                <w:sz w:val="21"/>
                <w:szCs w:val="21"/>
              </w:rPr>
            </w:pPr>
            <w:r>
              <w:rPr>
                <w:rFonts w:ascii="黑体" w:eastAsia="黑体" w:hAnsi="黑体" w:cs="黑体" w:hint="eastAsia"/>
                <w:bCs/>
                <w:sz w:val="21"/>
                <w:szCs w:val="21"/>
              </w:rPr>
              <w:t>非强</w:t>
            </w:r>
          </w:p>
          <w:p w:rsidR="00D67C4F" w:rsidRDefault="00D80685">
            <w:pPr>
              <w:pStyle w:val="TableParagraph"/>
              <w:spacing w:line="320" w:lineRule="exact"/>
              <w:ind w:left="136"/>
              <w:rPr>
                <w:rFonts w:ascii="黑体" w:eastAsia="黑体" w:hAnsi="黑体" w:cs="黑体"/>
                <w:bCs/>
                <w:sz w:val="21"/>
                <w:szCs w:val="21"/>
              </w:rPr>
            </w:pPr>
            <w:r>
              <w:rPr>
                <w:rFonts w:ascii="黑体" w:eastAsia="黑体" w:hAnsi="黑体" w:cs="黑体" w:hint="eastAsia"/>
                <w:bCs/>
                <w:sz w:val="21"/>
                <w:szCs w:val="21"/>
              </w:rPr>
              <w:t>制性</w:t>
            </w: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pacing w:line="320" w:lineRule="exact"/>
              <w:ind w:left="136"/>
              <w:rPr>
                <w:rFonts w:ascii="黑体" w:eastAsia="黑体" w:hAnsi="黑体" w:cs="黑体"/>
                <w:bCs/>
                <w:sz w:val="21"/>
                <w:szCs w:val="21"/>
              </w:rPr>
            </w:pPr>
            <w:r>
              <w:rPr>
                <w:rFonts w:ascii="黑体" w:eastAsia="黑体" w:hAnsi="黑体" w:cs="黑体" w:hint="eastAsia"/>
                <w:bCs/>
                <w:sz w:val="21"/>
                <w:szCs w:val="21"/>
              </w:rPr>
              <w:t>重要项</w:t>
            </w: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pacing w:line="320" w:lineRule="exact"/>
              <w:ind w:left="136"/>
              <w:rPr>
                <w:rFonts w:ascii="黑体" w:eastAsia="黑体" w:hAnsi="黑体" w:cs="黑体"/>
                <w:bCs/>
                <w:sz w:val="21"/>
                <w:szCs w:val="21"/>
              </w:rPr>
            </w:pPr>
            <w:r>
              <w:rPr>
                <w:rFonts w:ascii="黑体" w:eastAsia="黑体" w:hAnsi="黑体" w:cs="黑体" w:hint="eastAsia"/>
                <w:bCs/>
                <w:sz w:val="21"/>
                <w:szCs w:val="21"/>
              </w:rPr>
              <w:t>较重</w:t>
            </w:r>
          </w:p>
          <w:p w:rsidR="00D67C4F" w:rsidRDefault="00D80685">
            <w:pPr>
              <w:pStyle w:val="TableParagraph"/>
              <w:spacing w:line="320" w:lineRule="exact"/>
              <w:ind w:left="136"/>
              <w:rPr>
                <w:rFonts w:ascii="黑体" w:eastAsia="黑体" w:hAnsi="黑体" w:cs="黑体"/>
                <w:bCs/>
                <w:sz w:val="21"/>
                <w:szCs w:val="21"/>
              </w:rPr>
            </w:pPr>
            <w:r>
              <w:rPr>
                <w:rFonts w:ascii="黑体" w:eastAsia="黑体" w:hAnsi="黑体" w:cs="黑体" w:hint="eastAsia"/>
                <w:bCs/>
                <w:sz w:val="21"/>
                <w:szCs w:val="21"/>
              </w:rPr>
              <w:t>要项</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80685">
            <w:pPr>
              <w:pStyle w:val="TableParagraph"/>
              <w:spacing w:line="320" w:lineRule="exact"/>
              <w:ind w:left="136"/>
              <w:rPr>
                <w:rFonts w:ascii="黑体" w:eastAsia="黑体" w:hAnsi="黑体" w:cs="黑体"/>
                <w:bCs/>
                <w:sz w:val="21"/>
                <w:szCs w:val="21"/>
              </w:rPr>
            </w:pPr>
            <w:r>
              <w:rPr>
                <w:rFonts w:ascii="黑体" w:eastAsia="黑体" w:hAnsi="黑体" w:cs="黑体" w:hint="eastAsia"/>
                <w:bCs/>
                <w:sz w:val="21"/>
                <w:szCs w:val="21"/>
              </w:rPr>
              <w:t>次要项</w:t>
            </w: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产品使用说明</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（标识）</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GB/T5296.4-2012 </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相应产品标准</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67C4F">
            <w:pPr>
              <w:widowControl/>
              <w:snapToGrid w:val="0"/>
              <w:spacing w:line="320" w:lineRule="exact"/>
              <w:jc w:val="center"/>
              <w:outlineLvl w:val="0"/>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80685">
            <w:pPr>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outlineLvl w:val="0"/>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outlineLvl w:val="0"/>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甲醛含量</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2912.1-2009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pStyle w:val="TableParagraph"/>
              <w:snapToGrid w:val="0"/>
              <w:spacing w:before="135" w:line="320" w:lineRule="exact"/>
              <w:ind w:left="14"/>
              <w:jc w:val="center"/>
              <w:rPr>
                <w:rFonts w:ascii="宋体" w:eastAsia="宋体" w:hAnsi="宋体" w:cs="宋体"/>
                <w:color w:val="000000"/>
                <w:sz w:val="21"/>
                <w:szCs w:val="21"/>
              </w:rPr>
            </w:pP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pH</w:t>
            </w:r>
            <w:r>
              <w:rPr>
                <w:rFonts w:ascii="宋体" w:eastAsia="宋体" w:hAnsi="宋体" w:cs="宋体" w:hint="eastAsia"/>
                <w:color w:val="000000"/>
                <w:sz w:val="21"/>
                <w:szCs w:val="21"/>
              </w:rPr>
              <w:t>值</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7573-2009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可分解致癌芳香胺染料</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17592-2011</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23344-2009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pStyle w:val="TableParagraph"/>
              <w:snapToGrid w:val="0"/>
              <w:spacing w:before="135" w:line="320" w:lineRule="exact"/>
              <w:ind w:left="14"/>
              <w:jc w:val="center"/>
              <w:rPr>
                <w:rFonts w:ascii="宋体" w:eastAsia="宋体" w:hAnsi="宋体" w:cs="宋体"/>
                <w:color w:val="000000"/>
                <w:sz w:val="21"/>
                <w:szCs w:val="21"/>
              </w:rPr>
            </w:pP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耐水色牢度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5713-2013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耐酸汗渍色牢度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3922-2013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耐碱汗渍色牢度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3922-2013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耐干摩擦色牢度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3920-2008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耐湿摩擦色牢度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3920-2008</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10</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耐（皂）洗色牢度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3921-2008</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12490-2014</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67C4F">
            <w:pPr>
              <w:widowControl/>
              <w:snapToGrid w:val="0"/>
              <w:spacing w:line="320" w:lineRule="exact"/>
              <w:jc w:val="center"/>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80685">
            <w:pPr>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11</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耐光色牢度</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8427-2008</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8427-2019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67C4F">
            <w:pPr>
              <w:widowControl/>
              <w:snapToGrid w:val="0"/>
              <w:spacing w:line="320" w:lineRule="exact"/>
              <w:jc w:val="center"/>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80685">
            <w:pPr>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snapToGrid w:val="0"/>
              <w:spacing w:before="135"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12</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绳带要求</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 31701-2015</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pStyle w:val="TableParagraph"/>
              <w:snapToGrid w:val="0"/>
              <w:spacing w:before="135" w:line="320" w:lineRule="exact"/>
              <w:ind w:left="14"/>
              <w:jc w:val="center"/>
              <w:rPr>
                <w:rFonts w:ascii="宋体" w:eastAsia="宋体" w:hAnsi="宋体" w:cs="宋体"/>
                <w:color w:val="000000"/>
                <w:sz w:val="21"/>
                <w:szCs w:val="21"/>
              </w:rPr>
            </w:pP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snapToGrid w:val="0"/>
              <w:spacing w:line="320" w:lineRule="exact"/>
              <w:jc w:val="center"/>
              <w:rPr>
                <w:rFonts w:ascii="宋体" w:eastAsia="宋体" w:hAnsi="宋体" w:cs="宋体"/>
                <w:color w:val="000000"/>
                <w:sz w:val="21"/>
                <w:szCs w:val="21"/>
              </w:rPr>
            </w:pPr>
          </w:p>
        </w:tc>
      </w:tr>
      <w:tr w:rsidR="00D67C4F">
        <w:trPr>
          <w:trHeight w:val="23"/>
          <w:jc w:val="center"/>
        </w:trPr>
        <w:tc>
          <w:tcPr>
            <w:tcW w:w="531"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13</w:t>
            </w:r>
          </w:p>
        </w:tc>
        <w:tc>
          <w:tcPr>
            <w:tcW w:w="1628"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纤维含量</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01057.1-2007</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01057.2-2007</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01057.3-2007</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01057.4-2007</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2910.1-2009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2910.2-2009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2910.3-2009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2910.4-2009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2910.6-2009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2910.7-2009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2910.8-2009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2910.11-2009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2910.12-2009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2910.18-2009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2910.20-2009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2910.22-2009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2910.101-2009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FZ/T </w:t>
            </w:r>
            <w:r>
              <w:rPr>
                <w:rFonts w:ascii="宋体" w:eastAsia="宋体" w:hAnsi="宋体" w:cs="宋体" w:hint="eastAsia"/>
                <w:color w:val="000000"/>
                <w:sz w:val="21"/>
                <w:szCs w:val="21"/>
              </w:rPr>
              <w:t>01101-2008</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01112-2012</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01026-2017</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01095-2002</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FZ/T 30003-2009</w:t>
            </w:r>
          </w:p>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GB/T 16988-2013</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D67C4F" w:rsidRDefault="00D67C4F">
            <w:pPr>
              <w:widowControl/>
              <w:snapToGrid w:val="0"/>
              <w:spacing w:line="320" w:lineRule="exact"/>
              <w:jc w:val="center"/>
              <w:rPr>
                <w:rFonts w:ascii="宋体" w:eastAsia="宋体" w:hAnsi="宋体" w:cs="宋体"/>
                <w:color w:val="000000"/>
                <w:sz w:val="21"/>
                <w:szCs w:val="21"/>
              </w:rPr>
            </w:pPr>
          </w:p>
        </w:tc>
        <w:tc>
          <w:tcPr>
            <w:tcW w:w="709" w:type="dxa"/>
            <w:tcBorders>
              <w:top w:val="single" w:sz="4" w:space="0" w:color="000000"/>
              <w:left w:val="single" w:sz="4" w:space="0" w:color="000000"/>
              <w:bottom w:val="single" w:sz="4" w:space="0" w:color="000000"/>
              <w:right w:val="single" w:sz="4" w:space="0" w:color="auto"/>
            </w:tcBorders>
            <w:noWrap/>
            <w:vAlign w:val="center"/>
          </w:tcPr>
          <w:p w:rsidR="00D67C4F" w:rsidRDefault="00D80685">
            <w:pPr>
              <w:widowControl/>
              <w:snapToGrid w:val="0"/>
              <w:spacing w:line="32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62" w:type="dxa"/>
            <w:tcBorders>
              <w:top w:val="single" w:sz="4" w:space="0" w:color="000000"/>
              <w:left w:val="single" w:sz="4" w:space="0" w:color="auto"/>
              <w:bottom w:val="single" w:sz="4" w:space="0" w:color="000000"/>
              <w:right w:val="single" w:sz="4" w:space="0" w:color="auto"/>
            </w:tcBorders>
            <w:noWrap/>
            <w:vAlign w:val="center"/>
          </w:tcPr>
          <w:p w:rsidR="00D67C4F" w:rsidRDefault="00D67C4F">
            <w:pPr>
              <w:widowControl/>
              <w:snapToGrid w:val="0"/>
              <w:spacing w:line="320" w:lineRule="exact"/>
              <w:jc w:val="center"/>
              <w:rPr>
                <w:rFonts w:ascii="宋体" w:eastAsia="宋体" w:hAnsi="宋体" w:cs="宋体"/>
                <w:color w:val="000000"/>
                <w:sz w:val="21"/>
                <w:szCs w:val="21"/>
              </w:rPr>
            </w:pPr>
          </w:p>
        </w:tc>
        <w:tc>
          <w:tcPr>
            <w:tcW w:w="765" w:type="dxa"/>
            <w:tcBorders>
              <w:top w:val="single" w:sz="4" w:space="0" w:color="000000"/>
              <w:left w:val="single" w:sz="4" w:space="0" w:color="auto"/>
              <w:bottom w:val="single" w:sz="4" w:space="0" w:color="000000"/>
              <w:right w:val="single" w:sz="4" w:space="0" w:color="auto"/>
            </w:tcBorders>
            <w:noWrap/>
            <w:vAlign w:val="center"/>
          </w:tcPr>
          <w:p w:rsidR="00D67C4F" w:rsidRDefault="00D80685">
            <w:pPr>
              <w:pStyle w:val="TableParagraph"/>
              <w:widowControl/>
              <w:snapToGrid w:val="0"/>
              <w:spacing w:line="320" w:lineRule="exact"/>
              <w:ind w:left="14"/>
              <w:jc w:val="cente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942" w:type="dxa"/>
            <w:tcBorders>
              <w:top w:val="single" w:sz="4" w:space="0" w:color="000000"/>
              <w:left w:val="single" w:sz="4" w:space="0" w:color="auto"/>
              <w:bottom w:val="single" w:sz="4" w:space="0" w:color="000000"/>
              <w:right w:val="single" w:sz="4" w:space="0" w:color="000000"/>
            </w:tcBorders>
            <w:noWrap/>
            <w:vAlign w:val="center"/>
          </w:tcPr>
          <w:p w:rsidR="00D67C4F" w:rsidRDefault="00D67C4F">
            <w:pPr>
              <w:widowControl/>
              <w:snapToGrid w:val="0"/>
              <w:spacing w:line="320" w:lineRule="exact"/>
              <w:jc w:val="center"/>
              <w:rPr>
                <w:rFonts w:ascii="宋体" w:eastAsia="宋体" w:hAnsi="宋体" w:cs="宋体"/>
                <w:color w:val="000000"/>
                <w:sz w:val="21"/>
                <w:szCs w:val="21"/>
              </w:rPr>
            </w:pPr>
          </w:p>
        </w:tc>
      </w:tr>
      <w:tr w:rsidR="00D67C4F">
        <w:trPr>
          <w:trHeight w:val="23"/>
          <w:jc w:val="center"/>
        </w:trPr>
        <w:tc>
          <w:tcPr>
            <w:tcW w:w="8514" w:type="dxa"/>
            <w:gridSpan w:val="8"/>
            <w:tcBorders>
              <w:top w:val="single" w:sz="4" w:space="0" w:color="000000"/>
              <w:left w:val="single" w:sz="4" w:space="0" w:color="000000"/>
              <w:bottom w:val="single" w:sz="4" w:space="0" w:color="000000"/>
              <w:right w:val="single" w:sz="4" w:space="0" w:color="auto"/>
            </w:tcBorders>
            <w:noWrap/>
          </w:tcPr>
          <w:p w:rsidR="00D67C4F" w:rsidRDefault="00D80685">
            <w:pPr>
              <w:widowControl/>
              <w:snapToGrid w:val="0"/>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备注：</w:t>
            </w:r>
          </w:p>
          <w:p w:rsidR="00D67C4F" w:rsidRDefault="00D80685">
            <w:pPr>
              <w:widowControl/>
              <w:snapToGrid w:val="0"/>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产品使用说明标注的纤维含量不一致时，应以耐久标签标注的纤维含量进行考核。如果未标注产品主要原材料的纤维成分和含量，则纤维含量项目不判定。</w:t>
            </w:r>
          </w:p>
          <w:p w:rsidR="00D67C4F" w:rsidRDefault="00D80685">
            <w:pPr>
              <w:widowControl/>
              <w:snapToGrid w:val="0"/>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color w:val="000000"/>
                <w:sz w:val="21"/>
                <w:szCs w:val="21"/>
              </w:rPr>
              <w:t>考虑到样品存在的不均匀性和检验的可靠性，样品中检测出微量其他纤维（未明示）时，如果其他纤维（未明示）的含量≤</w:t>
            </w:r>
            <w:r>
              <w:rPr>
                <w:rFonts w:ascii="宋体" w:eastAsia="宋体" w:hAnsi="宋体" w:cs="宋体" w:hint="eastAsia"/>
                <w:color w:val="000000"/>
                <w:sz w:val="21"/>
                <w:szCs w:val="21"/>
              </w:rPr>
              <w:t>1%</w:t>
            </w:r>
            <w:r>
              <w:rPr>
                <w:rFonts w:ascii="宋体" w:eastAsia="宋体" w:hAnsi="宋体" w:cs="宋体" w:hint="eastAsia"/>
                <w:color w:val="000000"/>
                <w:sz w:val="21"/>
                <w:szCs w:val="21"/>
              </w:rPr>
              <w:t>，或样品明示含微量其他纤维而未检出时，该微量其他纤维不计入总量进行判定。</w:t>
            </w:r>
          </w:p>
          <w:p w:rsidR="00D67C4F" w:rsidRDefault="00D80685">
            <w:pPr>
              <w:widowControl/>
              <w:snapToGrid w:val="0"/>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w:t>
            </w:r>
            <w:r>
              <w:rPr>
                <w:rFonts w:ascii="宋体" w:eastAsia="宋体" w:hAnsi="宋体" w:cs="宋体" w:hint="eastAsia"/>
                <w:color w:val="000000"/>
                <w:sz w:val="21"/>
                <w:szCs w:val="21"/>
              </w:rPr>
              <w:t>色牢度试验采用单纤维贴衬，产品标准另有规定的，按产品标准执行。</w:t>
            </w:r>
          </w:p>
          <w:p w:rsidR="00D67C4F" w:rsidRDefault="00D80685">
            <w:pPr>
              <w:widowControl/>
              <w:snapToGrid w:val="0"/>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w:t>
            </w:r>
            <w:r>
              <w:rPr>
                <w:rFonts w:ascii="宋体" w:eastAsia="宋体" w:hAnsi="宋体" w:cs="宋体" w:hint="eastAsia"/>
                <w:color w:val="000000"/>
                <w:sz w:val="21"/>
                <w:szCs w:val="21"/>
              </w:rPr>
              <w:t>针织产品耐摩擦色牢度只考核直向。</w:t>
            </w:r>
          </w:p>
          <w:p w:rsidR="00D67C4F" w:rsidRDefault="00D80685">
            <w:pPr>
              <w:widowControl/>
              <w:snapToGrid w:val="0"/>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5.</w:t>
            </w:r>
            <w:r>
              <w:rPr>
                <w:rFonts w:ascii="宋体" w:eastAsia="宋体" w:hAnsi="宋体" w:cs="宋体" w:hint="eastAsia"/>
                <w:color w:val="000000"/>
                <w:sz w:val="21"/>
                <w:szCs w:val="21"/>
              </w:rPr>
              <w:t>产品未标注产品标准，或标注产品标准不正确，检测产品使用说明（标识）、纤维含量以及</w:t>
            </w:r>
            <w:r>
              <w:rPr>
                <w:rFonts w:ascii="宋体" w:eastAsia="宋体" w:hAnsi="宋体" w:cs="宋体" w:hint="eastAsia"/>
                <w:color w:val="000000"/>
                <w:sz w:val="21"/>
                <w:szCs w:val="21"/>
              </w:rPr>
              <w:t>GB 18401</w:t>
            </w:r>
            <w:r>
              <w:rPr>
                <w:rFonts w:ascii="宋体" w:eastAsia="宋体" w:hAnsi="宋体" w:cs="宋体" w:hint="eastAsia"/>
                <w:color w:val="000000"/>
                <w:sz w:val="21"/>
                <w:szCs w:val="21"/>
              </w:rPr>
              <w:t>、</w:t>
            </w:r>
            <w:r>
              <w:rPr>
                <w:rFonts w:ascii="宋体" w:eastAsia="宋体" w:hAnsi="宋体" w:cs="宋体" w:hint="eastAsia"/>
                <w:color w:val="000000"/>
                <w:sz w:val="21"/>
                <w:szCs w:val="21"/>
              </w:rPr>
              <w:t>GB 31701</w:t>
            </w:r>
            <w:r>
              <w:rPr>
                <w:rFonts w:ascii="宋体" w:eastAsia="宋体" w:hAnsi="宋体" w:cs="宋体" w:hint="eastAsia"/>
                <w:color w:val="000000"/>
                <w:sz w:val="21"/>
                <w:szCs w:val="21"/>
              </w:rPr>
              <w:t>相关项目。</w:t>
            </w:r>
          </w:p>
          <w:p w:rsidR="00D67C4F" w:rsidRDefault="00D80685">
            <w:pPr>
              <w:widowControl/>
              <w:snapToGrid w:val="0"/>
              <w:spacing w:line="320" w:lineRule="exact"/>
              <w:ind w:firstLineChars="200" w:firstLine="420"/>
              <w:jc w:val="left"/>
              <w:rPr>
                <w:rFonts w:ascii="宋体" w:eastAsia="宋体" w:hAnsi="宋体" w:cs="宋体"/>
                <w:color w:val="000000"/>
                <w:sz w:val="21"/>
                <w:szCs w:val="21"/>
              </w:rPr>
            </w:pPr>
            <w:r>
              <w:rPr>
                <w:rFonts w:ascii="宋体" w:eastAsia="宋体" w:hAnsi="宋体" w:cs="宋体" w:hint="eastAsia"/>
                <w:color w:val="000000"/>
                <w:sz w:val="21"/>
                <w:szCs w:val="21"/>
              </w:rPr>
              <w:t>6.pH</w:t>
            </w:r>
            <w:r>
              <w:rPr>
                <w:rFonts w:ascii="宋体" w:eastAsia="宋体" w:hAnsi="宋体" w:cs="宋体" w:hint="eastAsia"/>
                <w:color w:val="000000"/>
                <w:sz w:val="21"/>
                <w:szCs w:val="21"/>
              </w:rPr>
              <w:t>值的测定用</w:t>
            </w:r>
            <w:r>
              <w:rPr>
                <w:rFonts w:ascii="宋体" w:eastAsia="宋体" w:hAnsi="宋体" w:cs="宋体" w:hint="eastAsia"/>
                <w:color w:val="000000"/>
                <w:sz w:val="21"/>
                <w:szCs w:val="21"/>
              </w:rPr>
              <w:t>0.1 mol/L</w:t>
            </w:r>
            <w:r>
              <w:rPr>
                <w:rFonts w:ascii="宋体" w:eastAsia="宋体" w:hAnsi="宋体" w:cs="宋体" w:hint="eastAsia"/>
                <w:color w:val="000000"/>
                <w:sz w:val="21"/>
                <w:szCs w:val="21"/>
              </w:rPr>
              <w:t>氯化钾溶液作为萃取介质。</w:t>
            </w:r>
          </w:p>
          <w:p w:rsidR="00D67C4F" w:rsidRDefault="00D80685">
            <w:pPr>
              <w:spacing w:line="32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7.</w:t>
            </w:r>
            <w:r>
              <w:rPr>
                <w:rFonts w:ascii="宋体" w:eastAsia="宋体" w:hAnsi="宋体" w:cs="宋体" w:hint="eastAsia"/>
                <w:color w:val="000000"/>
                <w:sz w:val="21"/>
                <w:szCs w:val="21"/>
              </w:rPr>
              <w:t>只检测产品相应标准中</w:t>
            </w:r>
            <w:r>
              <w:rPr>
                <w:rFonts w:ascii="宋体" w:eastAsia="宋体" w:hAnsi="宋体" w:cs="宋体" w:hint="eastAsia"/>
                <w:color w:val="000000"/>
                <w:sz w:val="21"/>
                <w:szCs w:val="21"/>
              </w:rPr>
              <w:t>有考核要求的项目。</w:t>
            </w:r>
          </w:p>
        </w:tc>
      </w:tr>
    </w:tbl>
    <w:p w:rsidR="00D67C4F" w:rsidRDefault="00D80685">
      <w:pPr>
        <w:adjustRightInd w:val="0"/>
        <w:snapToGrid w:val="0"/>
        <w:spacing w:line="40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注：</w:t>
      </w:r>
      <w:r>
        <w:rPr>
          <w:rFonts w:ascii="宋体" w:eastAsia="宋体" w:hAnsi="宋体" w:cs="宋体" w:hint="eastAsia"/>
          <w:color w:val="000000"/>
          <w:sz w:val="21"/>
          <w:szCs w:val="21"/>
        </w:rPr>
        <w:t>1.</w:t>
      </w:r>
      <w:r>
        <w:rPr>
          <w:rFonts w:ascii="宋体" w:eastAsia="宋体" w:hAnsi="宋体" w:cs="宋体" w:hint="eastAsia"/>
          <w:color w:val="000000"/>
          <w:sz w:val="21"/>
          <w:szCs w:val="21"/>
        </w:rPr>
        <w:t>执行企业标准、团体标准、地方标准的产品，检验项目参照上述内容执行。</w:t>
      </w:r>
    </w:p>
    <w:p w:rsidR="00D67C4F" w:rsidRDefault="00D80685">
      <w:pPr>
        <w:adjustRightInd w:val="0"/>
        <w:snapToGrid w:val="0"/>
        <w:spacing w:line="400" w:lineRule="exact"/>
        <w:ind w:firstLineChars="200" w:firstLine="420"/>
        <w:rPr>
          <w:rFonts w:ascii="宋体" w:hAnsi="宋体" w:cs="宋体"/>
        </w:rPr>
      </w:pPr>
      <w:r>
        <w:rPr>
          <w:rFonts w:ascii="宋体" w:eastAsia="宋体" w:hAnsi="宋体" w:cs="宋体" w:hint="eastAsia"/>
          <w:color w:val="000000"/>
          <w:sz w:val="21"/>
          <w:szCs w:val="21"/>
        </w:rPr>
        <w:t>2.</w:t>
      </w:r>
      <w:r>
        <w:rPr>
          <w:rFonts w:ascii="宋体" w:eastAsia="宋体" w:hAnsi="宋体" w:cs="宋体" w:hint="eastAsia"/>
          <w:color w:val="000000"/>
          <w:sz w:val="21"/>
          <w:szCs w:val="21"/>
        </w:rPr>
        <w:t>凡是注日期的文件，其随后所有的修改单（不包括勘误的内容）或修订版不适用于本细则。凡是不注日期的文件，其最新版本适用于本细则。</w:t>
      </w:r>
    </w:p>
    <w:p w:rsidR="00D67C4F" w:rsidRDefault="00D80685">
      <w:pPr>
        <w:pStyle w:val="a4"/>
        <w:tabs>
          <w:tab w:val="clear" w:pos="4201"/>
          <w:tab w:val="clear" w:pos="9298"/>
        </w:tabs>
        <w:spacing w:line="520" w:lineRule="exact"/>
        <w:ind w:firstLine="640"/>
        <w:rPr>
          <w:rFonts w:eastAsia="黑体" w:cs="黑体"/>
          <w:sz w:val="32"/>
          <w:szCs w:val="32"/>
        </w:rPr>
      </w:pPr>
      <w:r>
        <w:rPr>
          <w:rFonts w:ascii="黑体" w:eastAsia="黑体" w:hAnsi="黑体" w:cs="仿宋_GB2312" w:hint="eastAsia"/>
          <w:sz w:val="32"/>
          <w:szCs w:val="32"/>
        </w:rPr>
        <w:lastRenderedPageBreak/>
        <w:t>三、判定规则</w:t>
      </w:r>
    </w:p>
    <w:p w:rsidR="00D67C4F" w:rsidRDefault="00D80685">
      <w:pPr>
        <w:spacing w:line="520" w:lineRule="exact"/>
        <w:ind w:firstLineChars="200" w:firstLine="640"/>
        <w:rPr>
          <w:rFonts w:eastAsia="楷体_GB2312" w:cs="楷体_GB2312"/>
          <w:szCs w:val="32"/>
        </w:rPr>
      </w:pPr>
      <w:r>
        <w:rPr>
          <w:rFonts w:eastAsia="楷体_GB2312" w:cs="楷体_GB2312" w:hint="eastAsia"/>
          <w:szCs w:val="32"/>
        </w:rPr>
        <w:t>（一）依据标准</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强制性标准：</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GB 18401-2010</w:t>
      </w:r>
      <w:r>
        <w:rPr>
          <w:rFonts w:ascii="Times New Roman" w:eastAsia="仿宋_GB2312" w:hAnsi="Times New Roman"/>
          <w:sz w:val="32"/>
          <w:szCs w:val="32"/>
        </w:rPr>
        <w:t>《国家纺织产品基本安全技术规范》；</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GB 31701-2015</w:t>
      </w:r>
      <w:r>
        <w:rPr>
          <w:rFonts w:ascii="Times New Roman" w:eastAsia="仿宋_GB2312" w:hAnsi="Times New Roman"/>
          <w:sz w:val="32"/>
          <w:szCs w:val="32"/>
        </w:rPr>
        <w:t>《婴幼儿及儿童纺织产品安全技术规范》。</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推荐性标准：</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GB/T 31888-2015</w:t>
      </w:r>
      <w:r>
        <w:rPr>
          <w:rFonts w:ascii="Times New Roman" w:eastAsia="仿宋_GB2312" w:hAnsi="Times New Roman" w:hint="eastAsia"/>
          <w:sz w:val="32"/>
          <w:szCs w:val="32"/>
        </w:rPr>
        <w:t>《中小学生校服》；</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GB/T </w:t>
      </w:r>
      <w:r>
        <w:rPr>
          <w:rFonts w:ascii="Times New Roman" w:eastAsia="仿宋_GB2312" w:hAnsi="Times New Roman" w:hint="eastAsia"/>
          <w:sz w:val="32"/>
          <w:szCs w:val="32"/>
        </w:rPr>
        <w:t>22854-2009</w:t>
      </w:r>
      <w:r>
        <w:rPr>
          <w:rFonts w:ascii="Times New Roman" w:eastAsia="仿宋_GB2312" w:hAnsi="Times New Roman" w:hint="eastAsia"/>
          <w:sz w:val="32"/>
          <w:szCs w:val="32"/>
        </w:rPr>
        <w:t>《针织学生服》</w:t>
      </w:r>
      <w:r>
        <w:rPr>
          <w:rFonts w:ascii="Times New Roman" w:eastAsia="仿宋_GB2312" w:hAnsi="Times New Roman"/>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GB/T 23328-2009</w:t>
      </w:r>
      <w:r>
        <w:rPr>
          <w:rFonts w:ascii="Times New Roman" w:eastAsia="仿宋_GB2312" w:hAnsi="Times New Roman" w:hint="eastAsia"/>
          <w:sz w:val="32"/>
          <w:szCs w:val="32"/>
        </w:rPr>
        <w:t>《机织学生服》</w:t>
      </w:r>
      <w:r>
        <w:rPr>
          <w:rFonts w:ascii="Times New Roman" w:eastAsia="仿宋_GB2312" w:hAnsi="Times New Roman"/>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GB/T 2662-2017</w:t>
      </w:r>
      <w:r>
        <w:rPr>
          <w:rFonts w:ascii="Times New Roman" w:eastAsia="仿宋_GB2312" w:hAnsi="Times New Roman" w:hint="eastAsia"/>
          <w:sz w:val="32"/>
          <w:szCs w:val="32"/>
        </w:rPr>
        <w:t>《棉服装》</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GB/T 29862-2013</w:t>
      </w:r>
      <w:r>
        <w:rPr>
          <w:rFonts w:ascii="Times New Roman" w:eastAsia="仿宋_GB2312" w:hAnsi="Times New Roman"/>
          <w:sz w:val="32"/>
          <w:szCs w:val="32"/>
        </w:rPr>
        <w:t>《纺织品纤维含量的标识》；</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 xml:space="preserve">GB/T 31900-2015 </w:t>
      </w:r>
      <w:r>
        <w:rPr>
          <w:rFonts w:ascii="Times New Roman" w:eastAsia="仿宋_GB2312" w:hAnsi="Times New Roman" w:hint="eastAsia"/>
          <w:sz w:val="32"/>
          <w:szCs w:val="32"/>
        </w:rPr>
        <w:t>《机织儿童服装》</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73020-2019</w:t>
      </w:r>
      <w:r>
        <w:rPr>
          <w:rFonts w:ascii="Times New Roman" w:eastAsia="仿宋_GB2312" w:hAnsi="Times New Roman" w:hint="eastAsia"/>
          <w:sz w:val="32"/>
          <w:szCs w:val="32"/>
        </w:rPr>
        <w:t>《针织休闲服装》</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GB/T 5296.4-2012</w:t>
      </w:r>
      <w:r>
        <w:rPr>
          <w:rFonts w:ascii="Times New Roman" w:eastAsia="仿宋_GB2312" w:hAnsi="Times New Roman"/>
          <w:sz w:val="32"/>
          <w:szCs w:val="32"/>
        </w:rPr>
        <w:t>《消费品使用说明第</w:t>
      </w:r>
      <w:r>
        <w:rPr>
          <w:rFonts w:ascii="Times New Roman" w:eastAsia="仿宋_GB2312" w:hAnsi="Times New Roman"/>
          <w:sz w:val="32"/>
          <w:szCs w:val="32"/>
        </w:rPr>
        <w:t>4</w:t>
      </w:r>
      <w:r>
        <w:rPr>
          <w:rFonts w:ascii="Times New Roman" w:eastAsia="仿宋_GB2312" w:hAnsi="Times New Roman"/>
          <w:sz w:val="32"/>
          <w:szCs w:val="32"/>
        </w:rPr>
        <w:t>部分：纺织品和服装》；</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73005-2021</w:t>
      </w:r>
      <w:r>
        <w:rPr>
          <w:rFonts w:ascii="Times New Roman" w:eastAsia="仿宋_GB2312" w:hAnsi="Times New Roman" w:hint="eastAsia"/>
          <w:sz w:val="32"/>
          <w:szCs w:val="32"/>
        </w:rPr>
        <w:t>《低含毛混纺及仿毛针织品》</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73010-2016</w:t>
      </w:r>
      <w:r>
        <w:rPr>
          <w:rFonts w:ascii="Times New Roman" w:eastAsia="仿宋_GB2312" w:hAnsi="Times New Roman" w:hint="eastAsia"/>
          <w:sz w:val="32"/>
          <w:szCs w:val="32"/>
        </w:rPr>
        <w:t>《针织工艺衫》</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73018-2021</w:t>
      </w:r>
      <w:r>
        <w:rPr>
          <w:rFonts w:ascii="Times New Roman" w:eastAsia="仿宋_GB2312" w:hAnsi="Times New Roman" w:hint="eastAsia"/>
          <w:sz w:val="32"/>
          <w:szCs w:val="32"/>
        </w:rPr>
        <w:t>《毛针织品</w:t>
      </w:r>
      <w:r>
        <w:rPr>
          <w:rFonts w:ascii="Times New Roman" w:eastAsia="仿宋_GB2312" w:hAnsi="Times New Roman" w:hint="eastAsia"/>
          <w:sz w:val="32"/>
          <w:szCs w:val="32"/>
        </w:rPr>
        <w:t>》</w:t>
      </w:r>
      <w:r>
        <w:rPr>
          <w:rFonts w:ascii="Times New Roman" w:eastAsia="仿宋_GB2312" w:hAnsi="Times New Roman"/>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73045-2013</w:t>
      </w:r>
      <w:r>
        <w:rPr>
          <w:rFonts w:ascii="Times New Roman" w:eastAsia="仿宋_GB2312" w:hAnsi="Times New Roman" w:hint="eastAsia"/>
          <w:sz w:val="32"/>
          <w:szCs w:val="32"/>
        </w:rPr>
        <w:t>《针织儿童服装》</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81007-2012</w:t>
      </w:r>
      <w:r>
        <w:rPr>
          <w:rFonts w:ascii="Times New Roman" w:eastAsia="仿宋_GB2312" w:hAnsi="Times New Roman" w:hint="eastAsia"/>
          <w:sz w:val="32"/>
          <w:szCs w:val="32"/>
        </w:rPr>
        <w:t>《单、夹服装》</w:t>
      </w:r>
      <w:r>
        <w:rPr>
          <w:rFonts w:ascii="Times New Roman" w:eastAsia="仿宋_GB2312" w:hAnsi="Times New Roman"/>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FZ/T 81004-2012</w:t>
      </w:r>
      <w:r>
        <w:rPr>
          <w:rFonts w:ascii="Times New Roman" w:eastAsia="仿宋_GB2312" w:hAnsi="Times New Roman" w:hint="eastAsia"/>
          <w:sz w:val="32"/>
          <w:szCs w:val="32"/>
        </w:rPr>
        <w:t>《连衣裙、裙套》</w:t>
      </w:r>
      <w:r>
        <w:rPr>
          <w:rFonts w:ascii="Times New Roman" w:eastAsia="仿宋_GB2312" w:hAnsi="Times New Roman" w:hint="eastAsia"/>
          <w:sz w:val="32"/>
          <w:szCs w:val="32"/>
        </w:rPr>
        <w:t>。</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现行有效的企业标准和产品明示指标或其他相适应的产品标准。</w:t>
      </w:r>
    </w:p>
    <w:p w:rsidR="00D67C4F" w:rsidRDefault="00D80685">
      <w:pPr>
        <w:spacing w:line="520" w:lineRule="exact"/>
        <w:ind w:firstLineChars="200" w:firstLine="640"/>
        <w:rPr>
          <w:rFonts w:eastAsia="楷体_GB2312" w:cs="楷体_GB2312"/>
          <w:szCs w:val="32"/>
        </w:rPr>
      </w:pPr>
      <w:r>
        <w:rPr>
          <w:rFonts w:eastAsia="楷体_GB2312" w:cs="楷体_GB2312"/>
          <w:szCs w:val="32"/>
        </w:rPr>
        <w:t>（二）判定原则</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经检验，检验项目全部合格，判定为抽取的样本所检项目未检出不合格；检验项目中任一项或一项以上不合格，判定为被抽查产品不合格。</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当被检样品明示的质量要求优于监督抽查实施细则中依据的标准要求时，应按被检样品明示的质量要求判定。</w:t>
      </w:r>
    </w:p>
    <w:p w:rsidR="00D67C4F" w:rsidRDefault="00D80685">
      <w:pPr>
        <w:pStyle w:val="a4"/>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当被检样品明示的质量要求劣于或不包含监督抽查实施细则中依据的强</w:t>
      </w:r>
      <w:r>
        <w:rPr>
          <w:rFonts w:ascii="Times New Roman" w:eastAsia="仿宋_GB2312" w:hAnsi="Times New Roman"/>
          <w:sz w:val="32"/>
          <w:szCs w:val="32"/>
        </w:rPr>
        <w:t>制性标准要求时，应按照强制性标准要求判定。</w:t>
      </w:r>
    </w:p>
    <w:p w:rsidR="00D67C4F" w:rsidRDefault="00D80685">
      <w:pPr>
        <w:pStyle w:val="a4"/>
        <w:widowControl w:val="0"/>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D67C4F" w:rsidRDefault="00D80685">
      <w:pPr>
        <w:pStyle w:val="a4"/>
        <w:widowControl w:val="0"/>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当被检样品明示的质量要求不包含监督抽查实施细则中依据的推荐性标准要求时，该指标不参与判定，但应在检验报告中作出说明。</w:t>
      </w:r>
    </w:p>
    <w:p w:rsidR="00D67C4F" w:rsidRDefault="00D80685">
      <w:pPr>
        <w:pStyle w:val="a4"/>
        <w:widowControl w:val="0"/>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当被检样品未能提供有效的企业标准时，按相关国家或行业标准进行判定。</w:t>
      </w:r>
    </w:p>
    <w:p w:rsidR="00D67C4F" w:rsidRDefault="00D80685">
      <w:pPr>
        <w:pStyle w:val="a4"/>
        <w:widowControl w:val="0"/>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r>
        <w:rPr>
          <w:rFonts w:ascii="Times New Roman" w:eastAsia="仿宋_GB2312" w:hAnsi="Times New Roman" w:hint="eastAsia"/>
          <w:sz w:val="32"/>
          <w:szCs w:val="32"/>
        </w:rPr>
        <w:t>。</w:t>
      </w:r>
    </w:p>
    <w:p w:rsidR="00D67C4F" w:rsidRDefault="00D80685">
      <w:pPr>
        <w:pStyle w:val="a4"/>
        <w:widowControl w:val="0"/>
        <w:tabs>
          <w:tab w:val="clear" w:pos="4201"/>
          <w:tab w:val="clear" w:pos="9298"/>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按照产品质量相关法律法规的规定判定。</w:t>
      </w:r>
    </w:p>
    <w:p w:rsidR="00D67C4F" w:rsidRDefault="00D80685">
      <w:pPr>
        <w:pStyle w:val="a4"/>
        <w:tabs>
          <w:tab w:val="clear" w:pos="4201"/>
          <w:tab w:val="clear" w:pos="9298"/>
        </w:tabs>
        <w:spacing w:line="520" w:lineRule="exact"/>
        <w:ind w:firstLine="640"/>
      </w:pPr>
      <w:r>
        <w:rPr>
          <w:rFonts w:ascii="Times New Roman" w:eastAsia="仿宋_GB2312" w:hAnsi="Times New Roman"/>
          <w:sz w:val="32"/>
          <w:szCs w:val="32"/>
        </w:rPr>
        <w:t>检验中发现因样品失效或者其他原因致使检验无法进行的，检验人员应如实记录，并提供相关证明材料，报送组织监督抽查的市场监管部门。</w:t>
      </w:r>
    </w:p>
    <w:p w:rsidR="00D67C4F" w:rsidRDefault="00D67C4F"/>
    <w:sectPr w:rsidR="00D67C4F" w:rsidSect="00D67C4F">
      <w:pgSz w:w="11906" w:h="16838"/>
      <w:pgMar w:top="2098" w:right="1474"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85" w:rsidRDefault="00D80685" w:rsidP="00E56726">
      <w:r>
        <w:separator/>
      </w:r>
    </w:p>
  </w:endnote>
  <w:endnote w:type="continuationSeparator" w:id="1">
    <w:p w:rsidR="00D80685" w:rsidRDefault="00D80685" w:rsidP="00E56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85" w:rsidRDefault="00D80685" w:rsidP="00E56726">
      <w:r>
        <w:separator/>
      </w:r>
    </w:p>
  </w:footnote>
  <w:footnote w:type="continuationSeparator" w:id="1">
    <w:p w:rsidR="00D80685" w:rsidRDefault="00D80685" w:rsidP="00E56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C4F"/>
    <w:rsid w:val="00D67C4F"/>
    <w:rsid w:val="00D80685"/>
    <w:rsid w:val="00E56726"/>
    <w:rsid w:val="75F524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67C4F"/>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D67C4F"/>
    <w:rPr>
      <w:rFonts w:ascii="宋体" w:hAnsi="Courier New" w:cs="宋体"/>
      <w:sz w:val="21"/>
      <w:szCs w:val="21"/>
    </w:rPr>
  </w:style>
  <w:style w:type="paragraph" w:customStyle="1" w:styleId="a4">
    <w:name w:val="段"/>
    <w:qFormat/>
    <w:rsid w:val="00D67C4F"/>
    <w:pPr>
      <w:tabs>
        <w:tab w:val="center" w:pos="4201"/>
        <w:tab w:val="right" w:leader="dot" w:pos="9298"/>
      </w:tabs>
      <w:autoSpaceDE w:val="0"/>
      <w:autoSpaceDN w:val="0"/>
      <w:ind w:firstLineChars="200" w:firstLine="420"/>
      <w:jc w:val="both"/>
    </w:pPr>
    <w:rPr>
      <w:rFonts w:ascii="宋体" w:hAnsi="Calibri"/>
      <w:kern w:val="2"/>
      <w:sz w:val="21"/>
      <w:szCs w:val="22"/>
    </w:rPr>
  </w:style>
  <w:style w:type="table" w:customStyle="1" w:styleId="TableNormal">
    <w:name w:val="Table Normal"/>
    <w:uiPriority w:val="2"/>
    <w:unhideWhenUsed/>
    <w:qFormat/>
    <w:rsid w:val="00D67C4F"/>
    <w:tblPr>
      <w:tblCellMar>
        <w:top w:w="0" w:type="dxa"/>
        <w:left w:w="0" w:type="dxa"/>
        <w:bottom w:w="0" w:type="dxa"/>
        <w:right w:w="0" w:type="dxa"/>
      </w:tblCellMar>
    </w:tblPr>
  </w:style>
  <w:style w:type="paragraph" w:customStyle="1" w:styleId="TableParagraph">
    <w:name w:val="Table Paragraph"/>
    <w:basedOn w:val="a"/>
    <w:uiPriority w:val="1"/>
    <w:qFormat/>
    <w:rsid w:val="00D67C4F"/>
    <w:rPr>
      <w:sz w:val="30"/>
    </w:rPr>
  </w:style>
  <w:style w:type="paragraph" w:styleId="a5">
    <w:name w:val="header"/>
    <w:basedOn w:val="a"/>
    <w:link w:val="Char"/>
    <w:rsid w:val="00E56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E56726"/>
    <w:rPr>
      <w:rFonts w:eastAsia="仿宋_GB2312"/>
      <w:kern w:val="2"/>
      <w:sz w:val="18"/>
      <w:szCs w:val="18"/>
    </w:rPr>
  </w:style>
  <w:style w:type="paragraph" w:styleId="a6">
    <w:name w:val="footer"/>
    <w:basedOn w:val="a"/>
    <w:link w:val="Char0"/>
    <w:rsid w:val="00E56726"/>
    <w:pPr>
      <w:tabs>
        <w:tab w:val="center" w:pos="4153"/>
        <w:tab w:val="right" w:pos="8306"/>
      </w:tabs>
      <w:snapToGrid w:val="0"/>
      <w:jc w:val="left"/>
    </w:pPr>
    <w:rPr>
      <w:sz w:val="18"/>
      <w:szCs w:val="18"/>
    </w:rPr>
  </w:style>
  <w:style w:type="character" w:customStyle="1" w:styleId="Char0">
    <w:name w:val="页脚 Char"/>
    <w:basedOn w:val="a1"/>
    <w:link w:val="a6"/>
    <w:rsid w:val="00E5672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gdqts</dc:creator>
  <cp:lastModifiedBy>wuxin</cp:lastModifiedBy>
  <cp:revision>3</cp:revision>
  <dcterms:created xsi:type="dcterms:W3CDTF">2014-10-29T12:08:00Z</dcterms:created>
  <dcterms:modified xsi:type="dcterms:W3CDTF">2023-05-08T06:20:00Z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