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主动</w:t>
      </w:r>
      <w:r>
        <w:rPr>
          <w:rFonts w:hint="eastAsia" w:ascii="黑体" w:hAnsi="黑体" w:eastAsia="黑体"/>
          <w:sz w:val="32"/>
          <w:szCs w:val="32"/>
        </w:rPr>
        <w:t>公开</w:t>
      </w:r>
    </w:p>
    <w:p>
      <w:pPr>
        <w:spacing w:line="440" w:lineRule="exact"/>
        <w:rPr>
          <w:sz w:val="32"/>
          <w:szCs w:val="32"/>
        </w:rPr>
      </w:pPr>
    </w:p>
    <w:p>
      <w:pPr>
        <w:spacing w:line="440" w:lineRule="exact"/>
        <w:rPr>
          <w:sz w:val="32"/>
          <w:szCs w:val="32"/>
        </w:rPr>
      </w:pPr>
    </w:p>
    <w:p>
      <w:pPr>
        <w:spacing w:line="1280" w:lineRule="exact"/>
        <w:jc w:val="center"/>
        <w:rPr>
          <w:rFonts w:hint="eastAsia" w:ascii="华文新魏" w:eastAsia="华文新魏"/>
          <w:color w:val="FF0000"/>
          <w:sz w:val="126"/>
          <w:szCs w:val="126"/>
          <w:lang w:eastAsia="zh-CN"/>
        </w:rPr>
      </w:pPr>
      <w:r>
        <w:rPr>
          <w:rFonts w:hint="eastAsia" w:ascii="华文新魏" w:eastAsia="华文新魏"/>
          <w:color w:val="FF0000"/>
          <w:spacing w:val="12"/>
          <w:sz w:val="126"/>
          <w:szCs w:val="126"/>
          <w:lang w:val="en-US" w:eastAsia="zh-CN"/>
        </w:rPr>
        <w:t>三水</w:t>
      </w:r>
      <w:r>
        <w:rPr>
          <w:rFonts w:hint="eastAsia" w:ascii="华文新魏" w:eastAsia="华文新魏"/>
          <w:color w:val="FF0000"/>
          <w:spacing w:val="12"/>
          <w:sz w:val="126"/>
          <w:szCs w:val="126"/>
        </w:rPr>
        <w:t>统计</w:t>
      </w:r>
      <w:r>
        <w:rPr>
          <w:rFonts w:hint="eastAsia" w:ascii="华文新魏" w:eastAsia="华文新魏"/>
          <w:color w:val="FF0000"/>
          <w:spacing w:val="12"/>
          <w:sz w:val="126"/>
          <w:szCs w:val="126"/>
          <w:lang w:val="en-US" w:eastAsia="zh-CN"/>
        </w:rPr>
        <w:t>快讯</w:t>
      </w:r>
    </w:p>
    <w:p>
      <w:pPr>
        <w:spacing w:line="600" w:lineRule="exact"/>
        <w:jc w:val="center"/>
        <w:rPr>
          <w:rFonts w:ascii="方正仿宋简体" w:eastAsia="方正仿宋简体"/>
          <w:sz w:val="32"/>
          <w:szCs w:val="32"/>
        </w:rPr>
      </w:pPr>
    </w:p>
    <w:p>
      <w:pPr>
        <w:spacing w:line="520" w:lineRule="exact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【2023】</w:t>
      </w:r>
      <w:r>
        <w:rPr>
          <w:rFonts w:hint="eastAsia" w:ascii="仿宋" w:hAnsi="仿宋" w:eastAsia="仿宋"/>
          <w:sz w:val="32"/>
          <w:szCs w:val="32"/>
        </w:rPr>
        <w:t>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期</w:t>
      </w:r>
    </w:p>
    <w:p>
      <w:pPr>
        <w:spacing w:line="60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佛山市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三水区</w:t>
      </w:r>
      <w:r>
        <w:rPr>
          <w:rFonts w:hint="eastAsia" w:ascii="仿宋" w:hAnsi="仿宋" w:eastAsia="仿宋"/>
          <w:sz w:val="32"/>
          <w:szCs w:val="32"/>
        </w:rPr>
        <w:t>统计局编</w:t>
      </w:r>
      <w:r>
        <w:rPr>
          <w:rFonts w:hint="eastAsia" w:ascii="仿宋" w:hAnsi="仿宋" w:eastAsia="仿宋"/>
          <w:sz w:val="32"/>
          <w:szCs w:val="32"/>
          <w:lang w:eastAsia="zh-CN"/>
        </w:rPr>
        <w:t xml:space="preserve">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38100</wp:posOffset>
                </wp:positionV>
                <wp:extent cx="572389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3890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3pt;height:0.05pt;width:450.7pt;mso-position-horizontal:center;z-index:251659264;mso-width-relative:page;mso-height-relative:page;" filled="f" stroked="t" coordsize="21600,21600" o:gfxdata="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AD2Qj9MAAAAEAQAADwAAAAAAAAABACAAAAAiAAAAZHJzL2Rvd25yZXYueG1s&#10;UEsBAhQAFAAAAAgAh07iQEAAEl39AQAA9QMAAA4AAAAAAAAAAQAgAAAAIgEAAGRycy9lMm9Eb2Mu&#10;eG1sUEsFBgAAAAAGAAYAWQEAAJEFAAAAAA=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2023年一季度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三水区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经济运行简况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  <w:highlight w:val="none"/>
          <w:lang w:val="en-US" w:eastAsia="zh-CN"/>
        </w:rPr>
        <w:t>一季度</w:t>
      </w: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  <w:highlight w:val="none"/>
        </w:rPr>
        <w:t>，我区坚持稳中求进的工作总基调，着力推进经济高质量发展，紧盯目标任务，细化工作措施，供给需求双侧稳步增长，财政金融保持较好增势，稳增长政策效应凸显，经济社会发展实现良好开局，</w:t>
      </w: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  <w:highlight w:val="none"/>
          <w:lang w:val="en-US" w:eastAsia="zh-CN"/>
        </w:rPr>
        <w:t>为</w:t>
      </w: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  <w:highlight w:val="none"/>
        </w:rPr>
        <w:t>全年经济</w:t>
      </w: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  <w:highlight w:val="none"/>
          <w:lang w:val="en-US" w:eastAsia="zh-CN"/>
        </w:rPr>
        <w:t>打下良好基础</w:t>
      </w: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根据地区生产总值统一核算结果，一季度，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我区</w:t>
      </w:r>
      <w:r>
        <w:rPr>
          <w:rFonts w:hint="eastAsia" w:ascii="仿宋_GB2312" w:hAnsi="仿宋_GB2312" w:eastAsia="仿宋_GB2312" w:cs="仿宋_GB2312"/>
          <w:sz w:val="32"/>
          <w:szCs w:val="32"/>
        </w:rPr>
        <w:t>实现地区生产总值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352.54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亿元，同比增长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5.0</w:t>
      </w:r>
      <w:r>
        <w:rPr>
          <w:rFonts w:hint="eastAsia" w:ascii="仿宋_GB2312" w:hAnsi="仿宋_GB2312" w:eastAsia="仿宋_GB2312" w:cs="仿宋_GB2312"/>
          <w:sz w:val="32"/>
          <w:szCs w:val="32"/>
        </w:rPr>
        <w:t>%。其中，第一产业增加值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7.61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亿元，增长4.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%；第二产业增加值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237.51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.4%；第三产业增加值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107.42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4.2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一、农业生产平稳增长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1-3月，我区种植业产值5.48亿元，占农林牧渔业产值的23.6%，同比增长6.0%，其中蔬菜（含食用菌）产量6.15万吨，占全区种植业产值的66.6%，同比增长4.1%；鲜切花产量1349万支，同比增长39.5%。观赏苗木237.7万株，同比增长12.5%，园林水果产量5616吨，同比增长10.7%，整体增长较为平稳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畜牧业产值10.02亿元，占农林牧渔业产值的43.18%，同比增长2.9%，其中生猪出栏13.8万头，占全区畜牧业产值的41.5%，同比增长9.1%；家禽出栏1056.9万只，占全区畜牧业产值的54.8%，同比下降2.0%。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二、</w:t>
      </w: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t>工业表现良好，行业稳定恢复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一季度，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我区</w:t>
      </w:r>
      <w:r>
        <w:rPr>
          <w:rFonts w:hint="eastAsia" w:ascii="仿宋_GB2312" w:hAnsi="仿宋_GB2312" w:eastAsia="仿宋_GB2312" w:cs="仿宋_GB2312"/>
          <w:sz w:val="32"/>
          <w:szCs w:val="32"/>
        </w:rPr>
        <w:t>规模以上工业增加值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236.54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亿元，同比增长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7.3</w:t>
      </w:r>
      <w:r>
        <w:rPr>
          <w:rFonts w:hint="eastAsia" w:ascii="仿宋_GB2312" w:hAnsi="仿宋_GB2312" w:eastAsia="仿宋_GB2312" w:cs="仿宋_GB2312"/>
          <w:sz w:val="32"/>
          <w:szCs w:val="32"/>
        </w:rPr>
        <w:t>%。全区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先</w:t>
      </w:r>
      <w:r>
        <w:rPr>
          <w:rFonts w:hint="eastAsia" w:ascii="仿宋_GB2312" w:hAnsi="仿宋_GB2312" w:eastAsia="仿宋_GB2312" w:cs="仿宋_GB2312"/>
          <w:sz w:val="32"/>
          <w:szCs w:val="32"/>
        </w:rPr>
        <w:t>进制造业实现增加值92.67 亿元，增长6.7%，其中：先进装备制造业40.56亿元，增长9.4%；生物医药及高性能医疗器械1.19亿元，增长33.2%。全区高技术制造业实现增加值8.66亿元，增长8.8%，高于全部规上工业1.5个百分点，其中：电子及通信设备制造业增长13.1%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从支柱行业来看，</w:t>
      </w:r>
      <w:r>
        <w:rPr>
          <w:rFonts w:hint="eastAsia" w:ascii="仿宋_GB2312" w:hAnsi="仿宋_GB2312" w:eastAsia="仿宋_GB2312" w:cs="仿宋_GB2312"/>
          <w:sz w:val="32"/>
          <w:szCs w:val="32"/>
        </w:rPr>
        <w:t>增加值前 10 大行业共计实现增加值186.23亿，占全部规上工业增加值比重 78.7%，拉动全部规上工业增长6个百分点，贡献率为83.9%，其中增长较快的有酒、饮料和精制茶制造业、通用设备制造业、非金属矿物制品业，分别同比增长22%、20.9%和7.8%。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三、服务业生产迅速回升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一季度，我区规上服务业营业收入同比增长7.9%。10大行业门类中，9个行业营业收入实现增长，1个行业下降。其中，交通运输仓储和邮政业实现营业收入5.52亿元，占全部规模以上服务业整体营业收入比重的46.5%，同比下降5.7%，对规模以上服务业整体增速拖累了3.0个百分点，对增长的贡献率为负（-38.3%）；增长最快的行业分别有，文化体育和娱乐业（68.9%），卫生和社会工作（55.6%）、水利环境和公共设施管理业（51%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四、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固定资产投资实现双位数增长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一季度，固定资产投资同比增长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 w:bidi="ar-SA"/>
        </w:rPr>
        <w:t>21.9</w:t>
      </w:r>
      <w:r>
        <w:rPr>
          <w:rFonts w:hint="eastAsia" w:ascii="仿宋_GB2312" w:hAnsi="仿宋_GB2312" w:eastAsia="仿宋_GB2312" w:cs="仿宋_GB2312"/>
          <w:sz w:val="32"/>
          <w:szCs w:val="32"/>
        </w:rPr>
        <w:t>%，增速比1—2月加快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个百分点。工业投资增长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63.0</w:t>
      </w:r>
      <w:r>
        <w:rPr>
          <w:rFonts w:hint="eastAsia" w:ascii="仿宋_GB2312" w:hAnsi="仿宋_GB2312" w:eastAsia="仿宋_GB2312" w:cs="仿宋_GB2312"/>
          <w:sz w:val="32"/>
          <w:szCs w:val="32"/>
        </w:rPr>
        <w:t>%，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其中，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工业技改投资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增长93.6%,增速全市第一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；基础设施投资增长102.8%,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增速全市第一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；房地产投资同比下降52.4%。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五、市场销售增势良好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一季度，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我区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社会消费品零售总额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完成61.77 亿元，增长2.4%</w:t>
      </w:r>
      <w:r>
        <w:rPr>
          <w:rFonts w:hint="eastAsia" w:ascii="仿宋_GB2312" w:hAnsi="仿宋_GB2312" w:eastAsia="仿宋_GB2312" w:cs="仿宋_GB2312"/>
          <w:sz w:val="32"/>
          <w:szCs w:val="32"/>
        </w:rPr>
        <w:t>，增速比1—2月提高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3.4</w:t>
      </w:r>
      <w:r>
        <w:rPr>
          <w:rFonts w:hint="eastAsia" w:ascii="仿宋_GB2312" w:hAnsi="仿宋_GB2312" w:eastAsia="仿宋_GB2312" w:cs="仿宋_GB2312"/>
          <w:sz w:val="32"/>
          <w:szCs w:val="32"/>
        </w:rPr>
        <w:t>个百分点。按消费形态分，商品零售额增长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1.0</w:t>
      </w:r>
      <w:r>
        <w:rPr>
          <w:rFonts w:hint="eastAsia" w:ascii="仿宋_GB2312" w:hAnsi="仿宋_GB2312" w:eastAsia="仿宋_GB2312" w:cs="仿宋_GB2312"/>
          <w:sz w:val="32"/>
          <w:szCs w:val="32"/>
        </w:rPr>
        <w:t>%，餐饮收入增长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11.7</w:t>
      </w:r>
      <w:r>
        <w:rPr>
          <w:rFonts w:hint="eastAsia" w:ascii="仿宋_GB2312" w:hAnsi="仿宋_GB2312" w:eastAsia="仿宋_GB2312" w:cs="仿宋_GB2312"/>
          <w:sz w:val="32"/>
          <w:szCs w:val="32"/>
        </w:rPr>
        <w:t>%。商品零售中，机电产品及设备类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563.1%，新能源汽车增长275.5%，</w:t>
      </w:r>
      <w:r>
        <w:rPr>
          <w:rFonts w:hint="eastAsia" w:ascii="仿宋_GB2312" w:hAnsi="仿宋_GB2312" w:eastAsia="仿宋_GB2312" w:cs="仿宋_GB2312"/>
          <w:sz w:val="32"/>
          <w:szCs w:val="32"/>
        </w:rPr>
        <w:t>粮油食品类商品零售额增长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48</w:t>
      </w:r>
      <w:r>
        <w:rPr>
          <w:rFonts w:hint="eastAsia" w:ascii="仿宋_GB2312" w:hAnsi="仿宋_GB2312" w:eastAsia="仿宋_GB2312" w:cs="仿宋_GB2312"/>
          <w:sz w:val="32"/>
          <w:szCs w:val="32"/>
        </w:rPr>
        <w:t>%，通讯器材类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增长31.7，饮料</w:t>
      </w:r>
      <w:r>
        <w:rPr>
          <w:rFonts w:hint="eastAsia" w:ascii="仿宋_GB2312" w:hAnsi="仿宋_GB2312" w:eastAsia="仿宋_GB2312" w:cs="仿宋_GB2312"/>
          <w:sz w:val="32"/>
          <w:szCs w:val="32"/>
        </w:rPr>
        <w:t>类增长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24.4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、居民消费价格保持平稳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一季度，居民消费价格指数（CPI）同比上涨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1.2</w:t>
      </w:r>
      <w:r>
        <w:rPr>
          <w:rFonts w:hint="eastAsia" w:ascii="仿宋_GB2312" w:hAnsi="仿宋_GB2312" w:eastAsia="仿宋_GB2312" w:cs="仿宋_GB2312"/>
          <w:sz w:val="32"/>
          <w:szCs w:val="32"/>
        </w:rPr>
        <w:t>%，涨幅比1—2月回落0.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个百分点。3月当月，CPI上涨0.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%，涨幅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比</w:t>
      </w:r>
      <w:r>
        <w:rPr>
          <w:rFonts w:hint="eastAsia" w:ascii="仿宋_GB2312" w:hAnsi="仿宋_GB2312" w:eastAsia="仿宋_GB2312" w:cs="仿宋_GB2312"/>
          <w:sz w:val="32"/>
          <w:szCs w:val="32"/>
        </w:rPr>
        <w:t>上月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提高0.2个百分点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其中，食品烟酒价格指数上涨4.1%、医疗保健价格指数上涨2.1%、衣着价格指数上涨0.8、居住价格指数下降2.3%。</w:t>
      </w:r>
      <w:r>
        <w:rPr>
          <w:rFonts w:hint="eastAsia" w:ascii="仿宋_GB2312" w:hAnsi="仿宋_GB2312" w:eastAsia="仿宋_GB2312" w:cs="仿宋_GB2312"/>
          <w:sz w:val="32"/>
          <w:szCs w:val="32"/>
        </w:rPr>
        <w:t>工业生产者出厂价格指数（PPI）下降0.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3月当月，PPI下降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1.5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、货物进出口规模持续增长，财金指标稳健回升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一季度，全区进出口预计完成94亿元，同比增长10.3%;其中出口68.3亿元，下降3.9%；进口25.7亿元，增长81.9%。全区实现地方一般公共预算收入14.85亿元，增长3.7％；地方一般公共预算支出18.56亿元，同比增长9.6％。金融机构本外币存款余额1180.21亿元，增长13.9，其中境内住户存款余额741.43亿元，增长18.2%；金融机构本外币贷款余额1062.64亿元，增长12.0%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一季度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，在多重因素交织叠加下，稳增长压力明显加大。我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区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一季度经济虽然取得较好成绩，但同时面临高基数、政策激励效应边际递减、投资消费限上限下结构性影响大等因素，做好上半年工作仍需付出艰苦努力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。下一步，要进一步深入贯彻习近平新时代中国特色社会主义思想，紧紧围绕省、市、区各项决策部署，抓住经济恢复的关键期，大力提振市场信心，以强信心、扶企业、扩投资、促消费、稳外贸为着力点，凝聚高质量发展合力，延续一季度开局良好趋势，推动经济运行持续整体好转，实现质的有效提升和量的合理增长。</w:t>
      </w:r>
    </w:p>
    <w:p>
      <w:pPr>
        <w:pStyle w:val="2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4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4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0" w:right="0" w:rightChars="0" w:firstLine="640" w:firstLineChars="0"/>
        <w:jc w:val="center"/>
        <w:textAlignment w:val="auto"/>
        <w:outlineLvl w:val="9"/>
        <w:rPr>
          <w:rFonts w:hint="default" w:ascii="Times New Roman" w:hAnsi="Times New Roman" w:eastAsia="仿宋_GB2312" w:cs="黑体"/>
          <w:sz w:val="32"/>
          <w:szCs w:val="32"/>
          <w:lang w:val="en-US" w:eastAsia="zh-CN"/>
        </w:rPr>
      </w:pPr>
      <w:r>
        <w:rPr>
          <w:rFonts w:hint="eastAsia" w:eastAsia="仿宋_GB2312" w:cs="黑体"/>
          <w:sz w:val="32"/>
          <w:szCs w:val="32"/>
          <w:lang w:val="en-US" w:eastAsia="zh-CN"/>
        </w:rPr>
        <w:t xml:space="preserve">                     </w:t>
      </w:r>
      <w:r>
        <w:rPr>
          <w:rFonts w:hint="default" w:ascii="Times New Roman" w:hAnsi="Times New Roman" w:eastAsia="仿宋_GB2312" w:cs="黑体"/>
          <w:sz w:val="32"/>
          <w:szCs w:val="32"/>
          <w:lang w:val="en-US" w:eastAsia="zh-CN"/>
        </w:rPr>
        <w:t>供稿单位：</w:t>
      </w:r>
      <w:r>
        <w:rPr>
          <w:rFonts w:hint="eastAsia" w:eastAsia="仿宋_GB2312" w:cs="黑体"/>
          <w:sz w:val="32"/>
          <w:szCs w:val="32"/>
          <w:lang w:val="en-US" w:eastAsia="zh-CN"/>
        </w:rPr>
        <w:t>综合核算股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0" w:right="0" w:rightChars="0" w:firstLine="640" w:firstLineChars="0"/>
        <w:jc w:val="center"/>
        <w:textAlignment w:val="auto"/>
        <w:outlineLvl w:val="9"/>
        <w:rPr>
          <w:rFonts w:hint="default" w:ascii="Times New Roman" w:hAnsi="Times New Roman" w:eastAsia="仿宋_GB2312" w:cs="黑体"/>
          <w:sz w:val="32"/>
          <w:szCs w:val="32"/>
          <w:lang w:val="en-US" w:eastAsia="zh-CN"/>
        </w:rPr>
      </w:pPr>
      <w:r>
        <w:rPr>
          <w:rFonts w:hint="eastAsia" w:eastAsia="仿宋_GB2312" w:cs="黑体"/>
          <w:sz w:val="32"/>
          <w:szCs w:val="32"/>
          <w:lang w:val="en-US" w:eastAsia="zh-CN"/>
        </w:rPr>
        <w:t xml:space="preserve">                 </w:t>
      </w:r>
      <w:r>
        <w:rPr>
          <w:rFonts w:hint="default" w:ascii="Times New Roman" w:hAnsi="Times New Roman" w:eastAsia="仿宋_GB2312" w:cs="黑体"/>
          <w:sz w:val="32"/>
          <w:szCs w:val="32"/>
          <w:lang w:val="en-US" w:eastAsia="zh-CN"/>
        </w:rPr>
        <w:t>撰      稿：</w:t>
      </w:r>
      <w:r>
        <w:rPr>
          <w:rFonts w:hint="eastAsia" w:ascii="Times New Roman" w:hAnsi="Times New Roman" w:eastAsia="仿宋_GB2312" w:cs="黑体"/>
          <w:sz w:val="32"/>
          <w:szCs w:val="32"/>
          <w:lang w:val="en-US" w:eastAsia="zh-CN"/>
        </w:rPr>
        <w:t>湛蓝宇</w:t>
      </w:r>
      <w:r>
        <w:rPr>
          <w:rFonts w:hint="default" w:ascii="Times New Roman" w:hAnsi="Times New Roman" w:eastAsia="仿宋_GB2312" w:cs="黑体"/>
          <w:sz w:val="32"/>
          <w:szCs w:val="32"/>
          <w:lang w:val="en-US" w:eastAsia="zh-CN"/>
        </w:rPr>
        <w:br w:type="textWrapping"/>
      </w:r>
      <w:r>
        <w:rPr>
          <w:rFonts w:hint="default" w:ascii="Times New Roman" w:hAnsi="Times New Roman" w:eastAsia="仿宋_GB2312" w:cs="黑体"/>
          <w:sz w:val="32"/>
          <w:szCs w:val="32"/>
          <w:lang w:val="en-US" w:eastAsia="zh-CN"/>
        </w:rPr>
        <w:t xml:space="preserve">                     责任编辑：</w:t>
      </w:r>
      <w:r>
        <w:rPr>
          <w:rFonts w:hint="eastAsia" w:eastAsia="仿宋_GB2312" w:cs="黑体"/>
          <w:sz w:val="32"/>
          <w:szCs w:val="32"/>
          <w:lang w:val="en-US" w:eastAsia="zh-CN"/>
        </w:rPr>
        <w:t>潘桂鹏</w:t>
      </w:r>
    </w:p>
    <w:p>
      <w:pPr>
        <w:rPr>
          <w:rFonts w:hint="eastAsia"/>
          <w:lang w:val="en-US" w:eastAsia="zh-CN"/>
        </w:rPr>
      </w:pPr>
    </w:p>
    <w:p>
      <w:pPr>
        <w:pStyle w:val="5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5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5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5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5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Bdr>
          <w:top w:val="single" w:color="auto" w:sz="8" w:space="1"/>
          <w:left w:val="none" w:color="auto" w:sz="0" w:space="4"/>
          <w:bottom w:val="single" w:color="auto" w:sz="8" w:space="1"/>
          <w:right w:val="none" w:color="auto" w:sz="0" w:space="4"/>
        </w:pBdr>
        <w:spacing w:line="500" w:lineRule="exact"/>
        <w:rPr>
          <w:rFonts w:hint="default" w:ascii="仿宋" w:hAnsi="仿宋" w:eastAsia="仿宋"/>
          <w:color w:val="auto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32"/>
        </w:rPr>
        <w:t>主送：</w:t>
      </w:r>
      <w:r>
        <w:rPr>
          <w:rFonts w:hint="eastAsia" w:ascii="仿宋" w:hAnsi="仿宋" w:eastAsia="仿宋"/>
          <w:color w:val="auto"/>
          <w:sz w:val="28"/>
          <w:szCs w:val="32"/>
          <w:lang w:val="en-US" w:eastAsia="zh-CN"/>
        </w:rPr>
        <w:t>局领导、政府网统计快讯栏目</w:t>
      </w:r>
    </w:p>
    <w:p>
      <w:pPr>
        <w:keepNext w:val="0"/>
        <w:keepLines w:val="0"/>
        <w:pageBreakBefore w:val="0"/>
        <w:widowControl w:val="0"/>
        <w:pBdr>
          <w:top w:val="single" w:color="auto" w:sz="8" w:space="1"/>
          <w:left w:val="none" w:color="auto" w:sz="0" w:space="4"/>
          <w:bottom w:val="single" w:color="auto" w:sz="8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/>
          <w:color w:val="auto"/>
          <w:sz w:val="28"/>
          <w:szCs w:val="32"/>
        </w:rPr>
        <w:t>抄送：</w:t>
      </w:r>
      <w:r>
        <w:rPr>
          <w:rFonts w:hint="eastAsia" w:ascii="仿宋" w:hAnsi="仿宋" w:eastAsia="仿宋"/>
          <w:color w:val="auto"/>
          <w:sz w:val="28"/>
          <w:szCs w:val="32"/>
          <w:lang w:val="en-US" w:eastAsia="zh-CN"/>
        </w:rPr>
        <w:t>各股室（中心）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楷体_GB2312" w:hAnsi="楷体_GB2312" w:eastAsia="楷体_GB2312" w:cs="楷体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楷体_GB2312" w:hAnsi="楷体_GB2312" w:eastAsia="楷体_GB2312" w:cs="楷体_GB2312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eastAsia" w:ascii="楷体_GB2312" w:hAnsi="楷体_GB2312" w:eastAsia="楷体_GB2312" w:cs="楷体_GB2312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iZWU1Yjg2YzYyOGU5OGZkOWU3N2ZkMTlhNDUzYmQifQ=="/>
  </w:docVars>
  <w:rsids>
    <w:rsidRoot w:val="00000000"/>
    <w:rsid w:val="09983417"/>
    <w:rsid w:val="18EA5F19"/>
    <w:rsid w:val="20C105F9"/>
    <w:rsid w:val="55691B95"/>
    <w:rsid w:val="61B41B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92" w:lineRule="exact"/>
      <w:outlineLvl w:val="2"/>
    </w:pPr>
    <w:rPr>
      <w:rFonts w:ascii="楷体" w:hAnsi="楷体" w:eastAsia="楷体" w:cs="Times New Roman"/>
      <w:sz w:val="32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4"/>
    <w:qFormat/>
    <w:uiPriority w:val="0"/>
    <w:pPr>
      <w:widowControl w:val="0"/>
      <w:autoSpaceDE w:val="0"/>
      <w:autoSpaceDN w:val="0"/>
      <w:adjustRightInd w:val="0"/>
    </w:pPr>
    <w:rPr>
      <w:rFonts w:ascii="楷体_GB2312" w:hAnsi="Calibri" w:eastAsia="楷体_GB2312"/>
      <w:color w:val="000000"/>
      <w:sz w:val="24"/>
      <w:szCs w:val="24"/>
      <w:lang w:val="en-US" w:eastAsia="zh-CN" w:bidi="ar-SA"/>
    </w:rPr>
  </w:style>
  <w:style w:type="paragraph" w:customStyle="1" w:styleId="3">
    <w:name w:val="纯文本1"/>
    <w:basedOn w:val="1"/>
    <w:qFormat/>
    <w:uiPriority w:val="0"/>
    <w:rPr>
      <w:rFonts w:ascii="宋体" w:hAnsi="Courier New"/>
      <w:szCs w:val="20"/>
    </w:rPr>
  </w:style>
  <w:style w:type="paragraph" w:customStyle="1" w:styleId="4">
    <w:name w:val="样式 样式 样式 正文文本 + 首行缩进:  2 字符1 + 首行缩进:  2 字符1 + 首行缩进:  2 字符"/>
    <w:qFormat/>
    <w:uiPriority w:val="0"/>
    <w:pPr>
      <w:widowControl w:val="0"/>
      <w:autoSpaceDE w:val="0"/>
      <w:autoSpaceDN w:val="0"/>
      <w:adjustRightInd w:val="0"/>
      <w:spacing w:line="360" w:lineRule="auto"/>
      <w:ind w:firstLine="200" w:firstLineChars="200"/>
      <w:jc w:val="both"/>
    </w:pPr>
    <w:rPr>
      <w:rFonts w:ascii="Times New Roman" w:hAnsi="Times New Roman" w:eastAsia="宋体" w:cs="宋体"/>
      <w:sz w:val="28"/>
      <w:szCs w:val="22"/>
      <w:lang w:val="zh-CN" w:eastAsia="zh-CN" w:bidi="ar-SA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1722</Words>
  <Characters>2087</Characters>
  <Lines>0</Lines>
  <Paragraphs>0</Paragraphs>
  <TotalTime>1</TotalTime>
  <ScaleCrop>false</ScaleCrop>
  <LinksUpToDate>false</LinksUpToDate>
  <CharactersWithSpaces>2188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PG鹏</cp:lastModifiedBy>
  <dcterms:modified xsi:type="dcterms:W3CDTF">2023-05-12T00:57:49Z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8B48BC0F12394A3C9E0A472EFBEEAFFF</vt:lpwstr>
  </property>
</Properties>
</file>