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[2023]31号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eastAsia="zh-CN"/>
        </w:rPr>
        <w:t>徐晓玲</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4号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DB1306D9</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9D3E</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4342</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BAC1</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E80CACF43898</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52C79D6"/>
    <w:rsid w:val="45311691"/>
    <w:rsid w:val="489A3587"/>
    <w:rsid w:val="4902426A"/>
    <w:rsid w:val="49CB1A04"/>
    <w:rsid w:val="4A986FAB"/>
    <w:rsid w:val="4B202BDC"/>
    <w:rsid w:val="4B5C4BBD"/>
    <w:rsid w:val="4BCE5149"/>
    <w:rsid w:val="4BFB55AA"/>
    <w:rsid w:val="50E726AB"/>
    <w:rsid w:val="52181309"/>
    <w:rsid w:val="53193252"/>
    <w:rsid w:val="565779E1"/>
    <w:rsid w:val="567800DB"/>
    <w:rsid w:val="57124A51"/>
    <w:rsid w:val="57704351"/>
    <w:rsid w:val="58145FDA"/>
    <w:rsid w:val="5C963D1C"/>
    <w:rsid w:val="5E4B354C"/>
    <w:rsid w:val="5FD26823"/>
    <w:rsid w:val="5FD7780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16</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2023-05-16T01:03:58Z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9F592C9D7138438DBB25864695270923</vt:lpwstr>
  </property>
</Properties>
</file>