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 w:val="44"/>
          <w:szCs w:val="44"/>
        </w:rPr>
        <w:t>行政复议决定书</w:t>
      </w:r>
    </w:p>
    <w:p>
      <w:pPr>
        <w:keepNext w:val="0"/>
        <w:keepLines w:val="0"/>
        <w:pageBreakBefore w:val="0"/>
        <w:widowControl w:val="0"/>
        <w:kinsoku/>
        <w:wordWrap/>
        <w:overflowPunct/>
        <w:topLinePunct w:val="0"/>
        <w:autoSpaceDE/>
        <w:autoSpaceDN/>
        <w:bidi w:val="0"/>
        <w:adjustRightInd/>
        <w:snapToGrid/>
        <w:spacing w:line="560" w:lineRule="exact"/>
        <w:ind w:left="0"/>
        <w:jc w:val="right"/>
        <w:rPr>
          <w:rFonts w:cs="仿宋_GB2312"/>
          <w:szCs w:val="32"/>
        </w:rPr>
      </w:pPr>
      <w:r>
        <w:rPr>
          <w:rFonts w:hint="eastAsia" w:cs="仿宋_GB2312"/>
          <w:szCs w:val="32"/>
        </w:rPr>
        <w:t>三府行复〔2023〕18</w:t>
      </w:r>
      <w:r>
        <w:rPr>
          <w:rFonts w:hint="eastAsia" w:cs="仿宋_GB2312"/>
          <w:szCs w:val="32"/>
          <w:lang w:val="en-US" w:eastAsia="zh-CN"/>
        </w:rPr>
        <w:t>4</w:t>
      </w:r>
      <w:r>
        <w:rPr>
          <w:rFonts w:hint="eastAsia" w:cs="仿宋_GB2312"/>
          <w:szCs w:val="32"/>
        </w:rPr>
        <w:t>号</w:t>
      </w:r>
    </w:p>
    <w:p>
      <w:pPr>
        <w:pStyle w:val="24"/>
        <w:keepNext w:val="0"/>
        <w:keepLines w:val="0"/>
        <w:pageBreakBefore w:val="0"/>
        <w:widowControl w:val="0"/>
        <w:kinsoku/>
        <w:wordWrap/>
        <w:overflowPunct/>
        <w:topLinePunct w:val="0"/>
        <w:autoSpaceDE/>
        <w:autoSpaceDN/>
        <w:bidi w:val="0"/>
        <w:adjustRightInd/>
        <w:snapToGrid/>
        <w:spacing w:line="560" w:lineRule="exact"/>
        <w:ind w:left="0"/>
        <w:rPr>
          <w:rFonts w:hAnsi="仿宋_GB2312" w:cs="仿宋_GB2312"/>
          <w:sz w:val="31"/>
          <w:szCs w:val="28"/>
        </w:rPr>
      </w:pP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rPr>
          <w:rFonts w:cs="仿宋_GB2312"/>
          <w:szCs w:val="32"/>
        </w:rPr>
      </w:pPr>
      <w:r>
        <w:rPr>
          <w:rFonts w:hint="eastAsia" w:cs="仿宋_GB2312"/>
          <w:b/>
          <w:bCs/>
          <w:szCs w:val="32"/>
        </w:rPr>
        <w:t>申请人：</w:t>
      </w:r>
      <w:r>
        <w:rPr>
          <w:rFonts w:hint="eastAsia"/>
          <w:szCs w:val="32"/>
        </w:rPr>
        <w:t>佛山市三水区大塘镇</w:t>
      </w:r>
      <w:r>
        <w:rPr>
          <w:rFonts w:hint="eastAsia"/>
          <w:szCs w:val="32"/>
          <w:lang w:eastAsia="zh-CN"/>
        </w:rPr>
        <w:t>某</w:t>
      </w:r>
      <w:r>
        <w:rPr>
          <w:rFonts w:hint="eastAsia"/>
          <w:szCs w:val="32"/>
        </w:rPr>
        <w:t>股份经济合作社</w:t>
      </w:r>
      <w:r>
        <w:rPr>
          <w:rFonts w:hint="eastAsia" w:cs="仿宋_GB231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rPr>
          <w:rFonts w:cs="仿宋_GB2312"/>
          <w:szCs w:val="32"/>
        </w:rPr>
      </w:pPr>
      <w:r>
        <w:rPr>
          <w:rFonts w:hint="eastAsia" w:cs="仿宋_GB2312"/>
          <w:b/>
          <w:bCs/>
          <w:szCs w:val="32"/>
        </w:rPr>
        <w:t>被申请人：</w:t>
      </w:r>
      <w:r>
        <w:rPr>
          <w:rFonts w:hint="eastAsia" w:cs="仿宋_GB2312"/>
          <w:szCs w:val="32"/>
        </w:rPr>
        <w:t>佛山市三水区大塘镇人民政府。</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rPr>
          <w:rFonts w:cs="仿宋_GB2312"/>
          <w:szCs w:val="32"/>
        </w:rPr>
      </w:pPr>
      <w:r>
        <w:rPr>
          <w:rFonts w:hint="eastAsia" w:cs="仿宋_GB2312"/>
          <w:szCs w:val="32"/>
        </w:rPr>
        <w:t>住所：广东省佛山市三水区大塘镇大兴大道中96号。</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rPr>
          <w:rFonts w:cs="仿宋_GB2312"/>
          <w:szCs w:val="32"/>
        </w:rPr>
      </w:pPr>
      <w:r>
        <w:rPr>
          <w:rFonts w:hint="eastAsia" w:cs="仿宋_GB2312"/>
          <w:szCs w:val="32"/>
        </w:rPr>
        <w:t>法定代表人：李锦铭，该镇镇长。</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rPr>
          <w:rFonts w:hint="eastAsia" w:cs="仿宋_GB2312"/>
          <w:szCs w:val="32"/>
        </w:rPr>
      </w:pPr>
      <w:r>
        <w:rPr>
          <w:rFonts w:hint="eastAsia" w:cs="仿宋_GB2312"/>
          <w:b/>
          <w:bCs/>
          <w:szCs w:val="32"/>
        </w:rPr>
        <w:t>第三人：</w:t>
      </w:r>
      <w:r>
        <w:rPr>
          <w:rFonts w:hint="eastAsia"/>
          <w:szCs w:val="32"/>
        </w:rPr>
        <w:t>彭</w:t>
      </w:r>
      <w:r>
        <w:rPr>
          <w:rFonts w:hint="eastAsia"/>
          <w:szCs w:val="32"/>
          <w:lang w:val="en-US" w:eastAsia="zh-CN"/>
        </w:rPr>
        <w:t>某1</w:t>
      </w:r>
      <w:r>
        <w:rPr>
          <w:rFonts w:hint="eastAsia" w:cs="仿宋_GB231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rPr>
          <w:rFonts w:hint="eastAsia" w:eastAsia="仿宋_GB2312" w:cs="仿宋_GB2312"/>
          <w:szCs w:val="32"/>
          <w:lang w:eastAsia="zh-CN"/>
        </w:rPr>
      </w:pPr>
      <w:r>
        <w:rPr>
          <w:rFonts w:hint="eastAsia" w:cs="仿宋_GB2312"/>
          <w:szCs w:val="32"/>
          <w:lang w:eastAsia="zh-CN"/>
        </w:rPr>
        <w:t>法定代理人：叶</w:t>
      </w:r>
      <w:r>
        <w:rPr>
          <w:rFonts w:hint="eastAsia" w:cs="仿宋_GB2312"/>
          <w:szCs w:val="32"/>
          <w:lang w:val="en-US" w:eastAsia="zh-CN"/>
        </w:rPr>
        <w:t>某</w:t>
      </w:r>
      <w:r>
        <w:rPr>
          <w:rFonts w:hint="eastAsia" w:cs="仿宋_GB231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rPr>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rPr>
          <w:rFonts w:cs="仿宋_GB2312"/>
          <w:szCs w:val="32"/>
        </w:rPr>
      </w:pPr>
      <w:r>
        <w:rPr>
          <w:rFonts w:hint="eastAsia"/>
          <w:szCs w:val="32"/>
        </w:rPr>
        <w:t>申请人佛山市三水区大塘镇</w:t>
      </w:r>
      <w:r>
        <w:rPr>
          <w:rFonts w:hint="eastAsia"/>
          <w:szCs w:val="32"/>
          <w:lang w:eastAsia="zh-CN"/>
        </w:rPr>
        <w:t>某</w:t>
      </w:r>
      <w:r>
        <w:rPr>
          <w:rFonts w:hint="eastAsia"/>
          <w:szCs w:val="32"/>
        </w:rPr>
        <w:t>股份经济合作社</w:t>
      </w:r>
      <w:r>
        <w:rPr>
          <w:rFonts w:hint="eastAsia" w:cs="仿宋_GB2312"/>
          <w:szCs w:val="32"/>
        </w:rPr>
        <w:t>不服被申请人佛山市三水区大塘镇人民政府于</w:t>
      </w:r>
      <w:r>
        <w:rPr>
          <w:rFonts w:hint="eastAsia"/>
          <w:szCs w:val="32"/>
        </w:rPr>
        <w:t>2023年5月2</w:t>
      </w:r>
      <w:r>
        <w:rPr>
          <w:rFonts w:hint="eastAsia"/>
          <w:szCs w:val="32"/>
          <w:lang w:val="en-US" w:eastAsia="zh-CN"/>
        </w:rPr>
        <w:t>0</w:t>
      </w:r>
      <w:r>
        <w:rPr>
          <w:rFonts w:hint="eastAsia"/>
          <w:szCs w:val="32"/>
        </w:rPr>
        <w:t>日作出的《行政处理决定书》（编号：大府行决〔2023〕</w:t>
      </w:r>
      <w:r>
        <w:rPr>
          <w:rFonts w:hint="eastAsia"/>
          <w:szCs w:val="32"/>
          <w:lang w:val="en-US" w:eastAsia="zh-CN"/>
        </w:rPr>
        <w:t>34</w:t>
      </w:r>
      <w:r>
        <w:rPr>
          <w:rFonts w:hint="eastAsia"/>
          <w:szCs w:val="32"/>
        </w:rPr>
        <w:t>号，以下简称《行政处理决定书》）</w:t>
      </w:r>
      <w:r>
        <w:rPr>
          <w:rFonts w:hint="eastAsia" w:cs="仿宋_GB2312"/>
          <w:szCs w:val="32"/>
        </w:rPr>
        <w:t>，于2023年</w:t>
      </w:r>
      <w:r>
        <w:rPr>
          <w:rFonts w:hint="eastAsia"/>
          <w:szCs w:val="32"/>
        </w:rPr>
        <w:t>7月10日</w:t>
      </w:r>
      <w:r>
        <w:rPr>
          <w:rFonts w:hint="eastAsia" w:cs="仿宋_GB2312"/>
          <w:szCs w:val="32"/>
        </w:rPr>
        <w:t>向本府申请行政复议，本府依法于当</w:t>
      </w:r>
      <w:r>
        <w:rPr>
          <w:rFonts w:hint="eastAsia"/>
          <w:szCs w:val="32"/>
        </w:rPr>
        <w:t>日</w:t>
      </w:r>
      <w:r>
        <w:rPr>
          <w:rFonts w:hint="eastAsia" w:cs="仿宋_GB2312"/>
          <w:szCs w:val="32"/>
        </w:rPr>
        <w:t>予以受理，并于2023年7月31日通知</w:t>
      </w:r>
      <w:r>
        <w:rPr>
          <w:rFonts w:hint="eastAsia"/>
          <w:szCs w:val="32"/>
        </w:rPr>
        <w:t>彭</w:t>
      </w:r>
      <w:r>
        <w:rPr>
          <w:rFonts w:hint="eastAsia"/>
          <w:szCs w:val="32"/>
          <w:lang w:val="en-US" w:eastAsia="zh-CN"/>
        </w:rPr>
        <w:t>某1</w:t>
      </w:r>
      <w:r>
        <w:rPr>
          <w:rFonts w:hint="eastAsia" w:cs="仿宋_GB2312"/>
          <w:szCs w:val="32"/>
        </w:rPr>
        <w:t>作为第三人参加行政复议。本案现已审查终结。</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rPr>
          <w:rFonts w:cs="仿宋_GB2312"/>
          <w:b/>
          <w:szCs w:val="32"/>
        </w:rPr>
      </w:pPr>
      <w:r>
        <w:rPr>
          <w:rFonts w:hint="eastAsia" w:cs="仿宋_GB2312"/>
          <w:b/>
          <w:szCs w:val="32"/>
        </w:rPr>
        <w:t>申请人请求：</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rPr>
          <w:rFonts w:cs="仿宋_GB2312"/>
          <w:color w:val="000000"/>
          <w:kern w:val="0"/>
          <w:szCs w:val="32"/>
        </w:rPr>
      </w:pPr>
      <w:r>
        <w:rPr>
          <w:rFonts w:hint="eastAsia" w:cs="仿宋_GB2312"/>
          <w:color w:val="000000"/>
          <w:kern w:val="0"/>
          <w:szCs w:val="32"/>
        </w:rPr>
        <w:t>撤销被申请人作出的</w:t>
      </w:r>
      <w:r>
        <w:rPr>
          <w:rFonts w:hint="eastAsia" w:cs="仿宋_GB2312"/>
          <w:szCs w:val="32"/>
        </w:rPr>
        <w:t>《行政处理决定书》</w:t>
      </w:r>
      <w:r>
        <w:rPr>
          <w:rFonts w:hint="eastAsia" w:cs="仿宋_GB2312"/>
          <w:color w:val="000000"/>
          <w:kern w:val="0"/>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rPr>
          <w:rFonts w:cs="仿宋_GB2312"/>
          <w:b/>
          <w:szCs w:val="32"/>
        </w:rPr>
      </w:pPr>
      <w:r>
        <w:rPr>
          <w:rFonts w:hint="eastAsia" w:cs="仿宋_GB2312"/>
          <w:b/>
          <w:szCs w:val="32"/>
        </w:rPr>
        <w:t>申请人称：</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pPr>
      <w:r>
        <w:rPr>
          <w:rFonts w:hint="eastAsia"/>
          <w:b/>
          <w:bCs/>
        </w:rPr>
        <w:t>一、在村规民约协商和确认期间</w:t>
      </w:r>
      <w:r>
        <w:rPr>
          <w:rFonts w:hint="eastAsia"/>
          <w:b/>
          <w:bCs/>
          <w:lang w:eastAsia="zh-CN"/>
        </w:rPr>
        <w:t>第三人</w:t>
      </w:r>
      <w:r>
        <w:rPr>
          <w:rFonts w:hint="eastAsia"/>
          <w:b/>
          <w:bCs/>
        </w:rPr>
        <w:t>的法定监护人未向村中理事会和各代表提及</w:t>
      </w:r>
      <w:r>
        <w:rPr>
          <w:rFonts w:hint="eastAsia"/>
          <w:b/>
          <w:bCs/>
          <w:lang w:val="en-US" w:eastAsia="zh-CN"/>
        </w:rPr>
        <w:t>第三人</w:t>
      </w:r>
      <w:r>
        <w:rPr>
          <w:rFonts w:hint="eastAsia"/>
          <w:b/>
          <w:bCs/>
        </w:rPr>
        <w:t>享有</w:t>
      </w:r>
      <w:r>
        <w:rPr>
          <w:rFonts w:hint="eastAsia"/>
          <w:b/>
          <w:bCs/>
          <w:lang w:eastAsia="zh-CN"/>
        </w:rPr>
        <w:t>***</w:t>
      </w:r>
      <w:r>
        <w:rPr>
          <w:rFonts w:hint="eastAsia"/>
          <w:b/>
          <w:bCs/>
        </w:rPr>
        <w:t>村任何福利。</w:t>
      </w:r>
      <w:r>
        <w:rPr>
          <w:rFonts w:hint="eastAsia"/>
          <w:szCs w:val="32"/>
          <w:lang w:eastAsia="zh-CN"/>
        </w:rPr>
        <w:t>第三人</w:t>
      </w:r>
      <w:r>
        <w:rPr>
          <w:rFonts w:hint="eastAsia"/>
          <w:szCs w:val="32"/>
        </w:rPr>
        <w:t>于20</w:t>
      </w:r>
      <w:r>
        <w:rPr>
          <w:rFonts w:hint="eastAsia"/>
          <w:szCs w:val="32"/>
          <w:lang w:val="en-US" w:eastAsia="zh-CN"/>
        </w:rPr>
        <w:t>15</w:t>
      </w:r>
      <w:r>
        <w:rPr>
          <w:rFonts w:hint="eastAsia"/>
          <w:szCs w:val="32"/>
        </w:rPr>
        <w:t>年</w:t>
      </w:r>
      <w:r>
        <w:rPr>
          <w:rFonts w:hint="eastAsia"/>
          <w:szCs w:val="32"/>
          <w:lang w:val="en-US" w:eastAsia="zh-CN"/>
        </w:rPr>
        <w:t>1</w:t>
      </w:r>
      <w:r>
        <w:rPr>
          <w:rFonts w:hint="eastAsia"/>
          <w:szCs w:val="32"/>
        </w:rPr>
        <w:t>月</w:t>
      </w:r>
      <w:r>
        <w:rPr>
          <w:rFonts w:hint="eastAsia"/>
          <w:szCs w:val="32"/>
          <w:lang w:val="en-US" w:eastAsia="zh-CN"/>
        </w:rPr>
        <w:t>14</w:t>
      </w:r>
      <w:r>
        <w:rPr>
          <w:rFonts w:hint="eastAsia"/>
          <w:szCs w:val="32"/>
        </w:rPr>
        <w:t>日入户</w:t>
      </w:r>
      <w:r>
        <w:rPr>
          <w:rFonts w:hint="eastAsia"/>
          <w:szCs w:val="32"/>
          <w:lang w:eastAsia="zh-CN"/>
        </w:rPr>
        <w:t>***</w:t>
      </w:r>
      <w:r>
        <w:rPr>
          <w:rFonts w:hint="eastAsia"/>
          <w:szCs w:val="32"/>
        </w:rPr>
        <w:t>村，在2019年该村就已实行村规民约，在村规民约协商和确认期间</w:t>
      </w:r>
      <w:r>
        <w:rPr>
          <w:rFonts w:hint="eastAsia"/>
          <w:lang w:val="en-US" w:eastAsia="zh-CN"/>
        </w:rPr>
        <w:t>第三人</w:t>
      </w:r>
      <w:r>
        <w:rPr>
          <w:rFonts w:hint="eastAsia"/>
          <w:szCs w:val="32"/>
        </w:rPr>
        <w:t>的法定监护人未向村中理事会和各代表提及</w:t>
      </w:r>
      <w:r>
        <w:rPr>
          <w:rFonts w:hint="eastAsia"/>
          <w:lang w:val="en-US" w:eastAsia="zh-CN"/>
        </w:rPr>
        <w:t>第三人</w:t>
      </w:r>
      <w:r>
        <w:rPr>
          <w:rFonts w:hint="eastAsia"/>
          <w:szCs w:val="32"/>
        </w:rPr>
        <w:t>享有</w:t>
      </w:r>
      <w:r>
        <w:rPr>
          <w:rFonts w:hint="eastAsia"/>
          <w:szCs w:val="32"/>
          <w:lang w:eastAsia="zh-CN"/>
        </w:rPr>
        <w:t>***</w:t>
      </w:r>
      <w:r>
        <w:rPr>
          <w:rFonts w:hint="eastAsia"/>
          <w:szCs w:val="32"/>
        </w:rPr>
        <w:t>村任何福利。</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b/>
          <w:bCs/>
        </w:rPr>
      </w:pPr>
      <w:r>
        <w:rPr>
          <w:rFonts w:hint="eastAsia"/>
          <w:b/>
          <w:bCs/>
        </w:rPr>
        <w:t>二、未按村规民约要求在股东资格界定日内提出承认</w:t>
      </w:r>
      <w:r>
        <w:rPr>
          <w:rFonts w:hint="eastAsia"/>
          <w:b/>
          <w:bCs/>
          <w:lang w:eastAsia="zh-CN"/>
        </w:rPr>
        <w:t>第三人</w:t>
      </w:r>
      <w:r>
        <w:rPr>
          <w:rFonts w:hint="eastAsia"/>
          <w:b/>
          <w:bCs/>
        </w:rPr>
        <w:t>是</w:t>
      </w:r>
      <w:r>
        <w:rPr>
          <w:rFonts w:hint="eastAsia"/>
          <w:b/>
          <w:bCs/>
          <w:lang w:eastAsia="zh-CN"/>
        </w:rPr>
        <w:t>***</w:t>
      </w:r>
      <w:r>
        <w:rPr>
          <w:rFonts w:hint="eastAsia"/>
          <w:b/>
          <w:bCs/>
        </w:rPr>
        <w:t>村成员，默认了</w:t>
      </w:r>
      <w:r>
        <w:rPr>
          <w:rFonts w:hint="eastAsia"/>
          <w:b/>
          <w:bCs/>
          <w:lang w:eastAsia="zh-CN"/>
        </w:rPr>
        <w:t>第三人</w:t>
      </w:r>
      <w:r>
        <w:rPr>
          <w:rFonts w:hint="eastAsia"/>
          <w:b/>
          <w:bCs/>
        </w:rPr>
        <w:t>为挂户并不享受村中任何福利。</w:t>
      </w:r>
      <w:r>
        <w:rPr>
          <w:rFonts w:hint="eastAsia"/>
        </w:rPr>
        <w:t>2021年11月30日开始至今</w:t>
      </w:r>
      <w:r>
        <w:rPr>
          <w:rFonts w:hint="eastAsia"/>
          <w:lang w:eastAsia="zh-CN"/>
        </w:rPr>
        <w:t>***</w:t>
      </w:r>
      <w:r>
        <w:rPr>
          <w:rFonts w:hint="eastAsia"/>
        </w:rPr>
        <w:t>村已实施实行新的村规民约，民约中第十条规定每年12月31日24时为本社股东资格界定日，因此村中理事会会对需要更改为</w:t>
      </w:r>
      <w:r>
        <w:rPr>
          <w:rFonts w:hint="eastAsia"/>
          <w:lang w:eastAsia="zh-CN"/>
        </w:rPr>
        <w:t>***</w:t>
      </w:r>
      <w:r>
        <w:rPr>
          <w:rFonts w:hint="eastAsia"/>
        </w:rPr>
        <w:t>村成员的人员作出登记和更改，但</w:t>
      </w:r>
      <w:r>
        <w:rPr>
          <w:rFonts w:hint="eastAsia"/>
          <w:lang w:val="en-US" w:eastAsia="zh-CN"/>
        </w:rPr>
        <w:t>第三人</w:t>
      </w:r>
      <w:r>
        <w:rPr>
          <w:rFonts w:hint="eastAsia"/>
        </w:rPr>
        <w:t>的监护人叶</w:t>
      </w:r>
      <w:r>
        <w:rPr>
          <w:rFonts w:hint="eastAsia"/>
          <w:lang w:val="en-US" w:eastAsia="zh-CN"/>
        </w:rPr>
        <w:t>某</w:t>
      </w:r>
      <w:r>
        <w:rPr>
          <w:rFonts w:hint="eastAsia"/>
        </w:rPr>
        <w:t>并未告知和提出承认</w:t>
      </w:r>
      <w:r>
        <w:rPr>
          <w:rFonts w:hint="eastAsia"/>
          <w:lang w:val="en-US" w:eastAsia="zh-CN"/>
        </w:rPr>
        <w:t>第三人</w:t>
      </w:r>
      <w:r>
        <w:rPr>
          <w:rFonts w:hint="eastAsia"/>
        </w:rPr>
        <w:t>是</w:t>
      </w:r>
      <w:r>
        <w:rPr>
          <w:rFonts w:hint="eastAsia"/>
          <w:lang w:eastAsia="zh-CN"/>
        </w:rPr>
        <w:t>***</w:t>
      </w:r>
      <w:r>
        <w:rPr>
          <w:rFonts w:hint="eastAsia"/>
        </w:rPr>
        <w:t>村成员，反而默认了</w:t>
      </w:r>
      <w:r>
        <w:rPr>
          <w:rFonts w:hint="eastAsia"/>
          <w:lang w:val="en-US" w:eastAsia="zh-CN"/>
        </w:rPr>
        <w:t>第三人</w:t>
      </w:r>
      <w:r>
        <w:rPr>
          <w:rFonts w:hint="eastAsia"/>
        </w:rPr>
        <w:t xml:space="preserve">为挂户并不享受村中任何福利。  </w:t>
      </w:r>
      <w:r>
        <w:rPr>
          <w:rFonts w:hint="eastAsia"/>
          <w:b/>
          <w:bCs/>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rFonts w:cs="仿宋_GB2312"/>
          <w:b/>
          <w:bCs/>
          <w:szCs w:val="32"/>
        </w:rPr>
      </w:pPr>
      <w:r>
        <w:rPr>
          <w:rFonts w:hint="eastAsia"/>
          <w:b/>
          <w:bCs/>
        </w:rPr>
        <w:t>三、认定是否具有集体经济组织成员资格，拥有该地户口是形式要件而非唯一要件。</w:t>
      </w:r>
      <w:r>
        <w:rPr>
          <w:rFonts w:hint="eastAsia"/>
        </w:rPr>
        <w:t>认定是否具有集体经济组织成员资格应当以是否依法登记所在地常住户口为形式要件，以是否实际在本集体经济组织生产生活为实质要件，不能单一以户籍因素进行认定，而要以户籍为基础，结合是否履行成员义务等因素综合考虑。因此，申请人认为</w:t>
      </w:r>
      <w:r>
        <w:rPr>
          <w:rFonts w:hint="eastAsia"/>
          <w:lang w:val="en-US" w:eastAsia="zh-CN"/>
        </w:rPr>
        <w:t>第三人</w:t>
      </w:r>
      <w:r>
        <w:rPr>
          <w:rFonts w:hint="eastAsia"/>
        </w:rPr>
        <w:t>不符合成为该村的成员。</w:t>
      </w:r>
    </w:p>
    <w:p>
      <w:pPr>
        <w:pStyle w:val="24"/>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rFonts w:hAnsi="仿宋_GB2312" w:cs="仿宋_GB2312"/>
          <w:b/>
          <w:bCs/>
          <w:szCs w:val="32"/>
        </w:rPr>
      </w:pPr>
      <w:r>
        <w:rPr>
          <w:rFonts w:hint="eastAsia" w:hAnsi="仿宋_GB2312" w:cs="仿宋_GB2312"/>
          <w:b/>
          <w:bCs/>
          <w:szCs w:val="32"/>
        </w:rPr>
        <w:t>被申请人提交了《行政复议答复书》及相关证据材料。</w:t>
      </w:r>
    </w:p>
    <w:p>
      <w:pPr>
        <w:pStyle w:val="24"/>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rFonts w:hAnsi="仿宋_GB2312" w:cs="仿宋_GB2312"/>
          <w:b/>
          <w:bCs/>
          <w:szCs w:val="32"/>
        </w:rPr>
      </w:pPr>
      <w:r>
        <w:rPr>
          <w:rFonts w:hint="eastAsia" w:hAnsi="仿宋_GB2312" w:cs="仿宋_GB2312"/>
          <w:b/>
          <w:bCs/>
          <w:szCs w:val="32"/>
        </w:rPr>
        <w:t>被申请人答复称：</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rFonts w:cs="仿宋_GB2312"/>
          <w:b/>
          <w:bCs/>
          <w:szCs w:val="32"/>
        </w:rPr>
      </w:pPr>
      <w:r>
        <w:rPr>
          <w:rFonts w:hint="eastAsia" w:cs="仿宋_GB2312"/>
          <w:b/>
          <w:bCs/>
          <w:szCs w:val="32"/>
        </w:rPr>
        <w:t>一、被申请人所作《行政处理决定书》主体适格。</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48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中华人民共和国地方各级人民代表大会和地方各级人民政府组织法》第七十六条规定：“乡、民族乡、镇的人民政府行使下列职权：……（三）保护社会主义的全民所有的财产和劳动群众集体所有的财产，保护公民私人所有的合法财产，维护社会秩序，保障公民的人身权利、民主权利和其他权利；……（六）保障宪法和法律赋予妇女的男女平等、同工同酬和婚姻自由等各项权利；……”《广东省农村集体经济组织管理规定》第四条规定：“农村集体经济组织在乡（镇）、村中国共产党组织的领导下，依法享有独立进行经济活动的自主权，接受各级人民政府、村民委员会的监督。农村集体经济组织实行民主管理，依法选举和罢免管理人员，决定经营管理的重大事项。”</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rFonts w:cs="仿宋_GB2312"/>
          <w:bCs/>
          <w:szCs w:val="32"/>
        </w:rPr>
      </w:pPr>
      <w:r>
        <w:rPr>
          <w:rFonts w:hint="eastAsia" w:cs="仿宋_GB2312"/>
          <w:bCs/>
          <w:szCs w:val="32"/>
        </w:rPr>
        <w:t>根据上述规定，被申请人具有对第三人所提出的申请事项进行行政处理的法定职责，所作《行政处理决定书》主体适格。</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rFonts w:cs="仿宋_GB2312"/>
          <w:b/>
          <w:szCs w:val="32"/>
        </w:rPr>
      </w:pPr>
      <w:r>
        <w:rPr>
          <w:rFonts w:hint="eastAsia" w:cs="仿宋_GB2312"/>
          <w:b/>
          <w:bCs/>
          <w:szCs w:val="32"/>
        </w:rPr>
        <w:t>二、被申请人所作</w:t>
      </w:r>
      <w:r>
        <w:rPr>
          <w:rFonts w:hint="eastAsia" w:cs="仿宋_GB2312"/>
          <w:b/>
          <w:szCs w:val="32"/>
        </w:rPr>
        <w:t>《行政处理决定书》认定事实清楚、证据确凿，内容适当。</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rFonts w:hint="eastAsia"/>
          <w:szCs w:val="32"/>
        </w:rPr>
      </w:pPr>
      <w:r>
        <w:rPr>
          <w:rFonts w:hint="eastAsia"/>
          <w:szCs w:val="32"/>
        </w:rPr>
        <w:t>2023年1月31日，第三人向</w:t>
      </w:r>
      <w:r>
        <w:rPr>
          <w:rFonts w:hint="eastAsia"/>
          <w:szCs w:val="32"/>
          <w:lang w:val="en-US" w:eastAsia="zh-CN"/>
        </w:rPr>
        <w:t>被申请人</w:t>
      </w:r>
      <w:r>
        <w:rPr>
          <w:rFonts w:hint="eastAsia"/>
          <w:szCs w:val="32"/>
        </w:rPr>
        <w:t>提出申请，请求确认其具有申请人佛山市三水区大塘镇</w:t>
      </w:r>
      <w:r>
        <w:rPr>
          <w:rFonts w:hint="eastAsia"/>
          <w:szCs w:val="32"/>
          <w:lang w:eastAsia="zh-CN"/>
        </w:rPr>
        <w:t>某</w:t>
      </w:r>
      <w:r>
        <w:rPr>
          <w:rFonts w:hint="eastAsia"/>
          <w:szCs w:val="32"/>
        </w:rPr>
        <w:t>股份经济合作社的集体经济组织成员资格并享有成员同等待遇。</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rFonts w:hint="eastAsia"/>
          <w:szCs w:val="32"/>
        </w:rPr>
      </w:pPr>
      <w:r>
        <w:rPr>
          <w:rFonts w:hint="eastAsia"/>
          <w:szCs w:val="32"/>
        </w:rPr>
        <w:t>经</w:t>
      </w:r>
      <w:r>
        <w:rPr>
          <w:rFonts w:hint="eastAsia"/>
          <w:szCs w:val="32"/>
          <w:lang w:val="en-US" w:eastAsia="zh-CN"/>
        </w:rPr>
        <w:t>被申请人</w:t>
      </w:r>
      <w:r>
        <w:rPr>
          <w:rFonts w:hint="eastAsia"/>
          <w:szCs w:val="32"/>
        </w:rPr>
        <w:t>调查核实，第三人母亲叶</w:t>
      </w:r>
      <w:r>
        <w:rPr>
          <w:rFonts w:hint="eastAsia"/>
          <w:lang w:val="en-US" w:eastAsia="zh-CN"/>
        </w:rPr>
        <w:t>某</w:t>
      </w:r>
      <w:r>
        <w:rPr>
          <w:rFonts w:hint="eastAsia"/>
          <w:szCs w:val="32"/>
        </w:rPr>
        <w:t>是</w:t>
      </w:r>
      <w:r>
        <w:rPr>
          <w:rFonts w:hint="eastAsia"/>
          <w:szCs w:val="32"/>
          <w:lang w:eastAsia="zh-CN"/>
        </w:rPr>
        <w:t>***</w:t>
      </w:r>
      <w:r>
        <w:rPr>
          <w:rFonts w:hint="eastAsia"/>
          <w:szCs w:val="32"/>
        </w:rPr>
        <w:t>村的村民，婚后户口一直保留在该村,一直有享受申请人的股份分红分配待遇。第三人父亲是彭</w:t>
      </w:r>
      <w:r>
        <w:rPr>
          <w:rFonts w:hint="eastAsia"/>
          <w:lang w:val="en-US" w:eastAsia="zh-CN"/>
        </w:rPr>
        <w:t>某2</w:t>
      </w:r>
      <w:r>
        <w:rPr>
          <w:rFonts w:hint="eastAsia"/>
          <w:szCs w:val="32"/>
        </w:rPr>
        <w:t>，户籍不在该村，非申请人成员。第三人于2014年9月16日出生，2015年1月14日出生申报入户该村，其出生符合计划生育政策，且至今户口从未迁出，第三人于2009年至2016年一直享受申请人分红分配福利待遇，2017年被停发分红分配福利待遇。</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rFonts w:hint="eastAsia"/>
          <w:szCs w:val="32"/>
        </w:rPr>
      </w:pPr>
      <w:r>
        <w:rPr>
          <w:rFonts w:hint="eastAsia"/>
          <w:szCs w:val="32"/>
        </w:rPr>
        <w:t>以上事实有行政处理申请书、身份证、户口本、出生医学证明、结婚证、农村集体经济组织登记证等证据证实。因此，被申请人作出《行政处理决定书》，确认第三人具有申请人的集体经济组织成员资格，并享有成员同等待遇，认定事实清楚、证据确凿，内容适当。</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b/>
          <w:szCs w:val="32"/>
        </w:rPr>
      </w:pPr>
      <w:r>
        <w:rPr>
          <w:rFonts w:hint="eastAsia" w:cs="仿宋_GB2312"/>
          <w:b/>
          <w:szCs w:val="32"/>
        </w:rPr>
        <w:t>三、被申请人所作《行政处理决定书》适用法律正确。</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baseline"/>
        <w:rPr>
          <w:rFonts w:hAnsi="Times New Roman"/>
          <w:szCs w:val="32"/>
        </w:rPr>
      </w:pPr>
      <w:r>
        <w:rPr>
          <w:rFonts w:hint="eastAsia" w:hAnsi="Times New Roman"/>
          <w:szCs w:val="32"/>
        </w:rPr>
        <w:t>《广东省实施&lt;中华人民共和国妇女权益保障法&gt;办法》第二十四条：“</w:t>
      </w:r>
      <w:r>
        <w:rPr>
          <w:rFonts w:hAnsi="Times New Roman"/>
          <w:szCs w:val="32"/>
        </w:rPr>
        <w:t>农村集体经济组织成员中的妇女，结婚后户口仍在原农村集体经济组织所在地，或者离婚、丧偶后户口仍在男方家所在地，并履行集体经济组织章程义务的，在土地承包经营、集体经济组织收益分配、股权分配、土地征收或者征用补偿费使用以及宅基地使用等方面，享有与本农村集体经济组织其他成员平等的权益。符合生育规定且户口与妇女在同一农村集体经济组织所在地的子女，履行集体经济组织章程义务的，享有前款规定的各项权益。</w:t>
      </w:r>
      <w:r>
        <w:rPr>
          <w:rFonts w:hint="eastAsia" w:hAnsi="Times New Roman"/>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szCs w:val="32"/>
        </w:rPr>
      </w:pPr>
      <w:r>
        <w:rPr>
          <w:rFonts w:hint="eastAsia"/>
          <w:szCs w:val="32"/>
        </w:rPr>
        <w:t>《中共佛山市三水区委 佛山市三水区人民政府关于落实农村出嫁女及其子女合法权益的意见》（三委发﹝2009﹞10号）第三条第（二）项、第（四）项：“2、符合农村集体经济组织成员资格的农村出嫁女子女必须同时具备以下条件:（1）其母符合农村集体经济组织成员资格条件;（2）本人是符合计划生育政策所生育或被合法收养的:（3）出生随母入户或收养时随母入户且户籍一直保留在本农村集体经济组织所在地的。严禁户籍不变因婚姻状况变化而人为随意地剥夺农村出嫁女及其子女的集体经济组织成员资格，或中途停止符合农村集体经济组织成员资格的农村出嫁女及其子女的股份分红和其他分配。”</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rFonts w:hint="eastAsia"/>
          <w:szCs w:val="32"/>
        </w:rPr>
      </w:pPr>
      <w:r>
        <w:rPr>
          <w:rFonts w:hint="eastAsia"/>
          <w:szCs w:val="32"/>
        </w:rPr>
        <w:t>另查，申请人于2021年11月30日通过的《三水区大塘镇</w:t>
      </w:r>
      <w:r>
        <w:rPr>
          <w:rFonts w:hint="eastAsia"/>
          <w:szCs w:val="32"/>
          <w:lang w:eastAsia="zh-CN"/>
        </w:rPr>
        <w:t>某</w:t>
      </w:r>
      <w:r>
        <w:rPr>
          <w:rFonts w:hint="eastAsia"/>
          <w:szCs w:val="32"/>
        </w:rPr>
        <w:t>股份经济合作社章程》（以下简称《</w:t>
      </w:r>
      <w:r>
        <w:rPr>
          <w:rFonts w:hint="eastAsia"/>
          <w:szCs w:val="32"/>
          <w:lang w:eastAsia="zh-CN"/>
        </w:rPr>
        <w:t>***</w:t>
      </w:r>
      <w:r>
        <w:rPr>
          <w:rFonts w:hint="eastAsia"/>
          <w:szCs w:val="32"/>
        </w:rPr>
        <w:t>村2021年章程》）中第三章第十一条规定：“在册户籍且承认本章程的农村居民符合以下情形之一，界定为本社自然配置股东：……2、《中共佛山市三水区委 佛山市三水区人民政府关于落实农村出嫁女及其子女合法权益的意见》（三委发﹝2009﹞10号）规定具有本社成员资格的出嫁女及其子女。……6、出生时随具有本社成员资格的父或母一方入户本社所在地且户口一直未迁出的人员。”</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rFonts w:hint="eastAsia"/>
          <w:szCs w:val="32"/>
        </w:rPr>
      </w:pPr>
      <w:r>
        <w:rPr>
          <w:rFonts w:hint="eastAsia"/>
          <w:szCs w:val="32"/>
        </w:rPr>
        <w:t>第三人母亲叶</w:t>
      </w:r>
      <w:r>
        <w:rPr>
          <w:rFonts w:hint="eastAsia"/>
          <w:lang w:val="en-US" w:eastAsia="zh-CN"/>
        </w:rPr>
        <w:t>某</w:t>
      </w:r>
      <w:r>
        <w:rPr>
          <w:rFonts w:hint="eastAsia"/>
          <w:szCs w:val="32"/>
        </w:rPr>
        <w:t>是</w:t>
      </w:r>
      <w:r>
        <w:rPr>
          <w:rFonts w:hint="eastAsia"/>
          <w:szCs w:val="32"/>
          <w:lang w:eastAsia="zh-CN"/>
        </w:rPr>
        <w:t>***</w:t>
      </w:r>
      <w:r>
        <w:rPr>
          <w:rFonts w:hint="eastAsia"/>
          <w:szCs w:val="32"/>
        </w:rPr>
        <w:t>村的村民，婚后户口一直保留在该村,一直有享受申请人的股份分红分配待遇，属申请人的集体经济组织成员。第三人于2014年9月16日出生，2015年1月14日出生申报入户该村，其出生符合计划生育政策，且至今户口从未迁出，曾经享受过申请人的股份分红分配待遇（2009年度至2016年度），按照《广东省实施&lt;中华人民共和国妇女权益保障法&gt;办法》第二十四条、《广东省农村集体经济组织管理规定》第十五条第二款、《中共佛山市三水区委 佛山市三水区人民政府关于落实农村出嫁女及其子女合法权益的意见》（三委发﹝2009﹞10号）第三条第（二）项、第（四）项、《</w:t>
      </w:r>
      <w:r>
        <w:rPr>
          <w:rFonts w:hint="eastAsia"/>
          <w:szCs w:val="32"/>
          <w:lang w:eastAsia="zh-CN"/>
        </w:rPr>
        <w:t>***</w:t>
      </w:r>
      <w:r>
        <w:rPr>
          <w:rFonts w:hint="eastAsia"/>
          <w:szCs w:val="32"/>
        </w:rPr>
        <w:t>村2021年章程》第三章第十一条第2项及第6项等规定，第三人应当具有申请人的集体经济组织成员资格，并享有该社成员同等待遇。</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rFonts w:hint="eastAsia"/>
          <w:szCs w:val="32"/>
        </w:rPr>
      </w:pPr>
      <w:r>
        <w:rPr>
          <w:rFonts w:hint="eastAsia"/>
          <w:szCs w:val="32"/>
        </w:rPr>
        <w:t>基于上述事实和理由，申请人不应以第三人未告知村理事会、未向村理事会提出申辩为理由，取消第三人的集体经济组织成员资格及其村中分红分配待遇。</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rFonts w:cs="仿宋_GB2312"/>
          <w:b/>
          <w:szCs w:val="32"/>
        </w:rPr>
      </w:pPr>
      <w:r>
        <w:rPr>
          <w:rFonts w:hint="eastAsia" w:cs="仿宋_GB2312"/>
          <w:b/>
          <w:szCs w:val="32"/>
        </w:rPr>
        <w:t>四、被申请人所作《行政处理决定书》程序合法。</w:t>
      </w:r>
    </w:p>
    <w:p>
      <w:pPr>
        <w:keepNext w:val="0"/>
        <w:keepLines w:val="0"/>
        <w:pageBreakBefore w:val="0"/>
        <w:widowControl w:val="0"/>
        <w:kinsoku/>
        <w:wordWrap/>
        <w:overflowPunct/>
        <w:topLinePunct w:val="0"/>
        <w:autoSpaceDE/>
        <w:autoSpaceDN/>
        <w:bidi w:val="0"/>
        <w:adjustRightInd/>
        <w:snapToGrid/>
        <w:spacing w:line="560" w:lineRule="exact"/>
        <w:ind w:left="0" w:firstLine="626" w:firstLineChars="198"/>
        <w:rPr>
          <w:rFonts w:hint="eastAsia" w:cs="仿宋_GB2312"/>
          <w:bCs/>
          <w:szCs w:val="32"/>
        </w:rPr>
      </w:pPr>
      <w:r>
        <w:rPr>
          <w:rFonts w:hint="eastAsia"/>
          <w:szCs w:val="32"/>
          <w:lang w:val="en-US" w:eastAsia="zh-CN"/>
        </w:rPr>
        <w:t>被申请人</w:t>
      </w:r>
      <w:r>
        <w:rPr>
          <w:rFonts w:hint="eastAsia" w:cs="仿宋_GB2312"/>
          <w:bCs/>
          <w:szCs w:val="32"/>
        </w:rPr>
        <w:t>2023年1月31日收到第三人提交的《行政处理申请书》后，在查清事实的基础上分别向申请人及第三人依法作出并送达了《行政处理告知书》《行政处理决定书》。以上程序有答复人提交的《行政处理申请书》《行政处理告知书》《行政处理决定书》及《送达回证》等予以证实，程序符合行政处理决定的相关流程。</w:t>
      </w:r>
    </w:p>
    <w:p>
      <w:pPr>
        <w:keepNext w:val="0"/>
        <w:keepLines w:val="0"/>
        <w:pageBreakBefore w:val="0"/>
        <w:widowControl w:val="0"/>
        <w:kinsoku/>
        <w:wordWrap/>
        <w:overflowPunct/>
        <w:topLinePunct w:val="0"/>
        <w:autoSpaceDE/>
        <w:autoSpaceDN/>
        <w:bidi w:val="0"/>
        <w:adjustRightInd/>
        <w:snapToGrid/>
        <w:spacing w:line="560" w:lineRule="exact"/>
        <w:ind w:left="0" w:firstLine="626" w:firstLineChars="198"/>
        <w:rPr>
          <w:rFonts w:cs="仿宋_GB2312"/>
          <w:b/>
          <w:bCs/>
          <w:color w:val="000000"/>
          <w:szCs w:val="32"/>
        </w:rPr>
      </w:pPr>
      <w:r>
        <w:rPr>
          <w:b/>
          <w:bCs/>
        </w:rPr>
        <w:t>第三人未向</w:t>
      </w:r>
      <w:r>
        <w:rPr>
          <w:rFonts w:hint="eastAsia"/>
          <w:b/>
          <w:bCs/>
        </w:rPr>
        <w:t>本府</w:t>
      </w:r>
      <w:r>
        <w:rPr>
          <w:b/>
          <w:bCs/>
        </w:rPr>
        <w:t>提供书面陈述材料</w:t>
      </w:r>
      <w:r>
        <w:rPr>
          <w:rFonts w:hint="eastAsia"/>
          <w:b/>
          <w:bCs/>
        </w:rPr>
        <w:t>。</w:t>
      </w:r>
    </w:p>
    <w:p>
      <w:pPr>
        <w:pStyle w:val="24"/>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rFonts w:cs="仿宋_GB2312"/>
          <w:szCs w:val="32"/>
        </w:rPr>
      </w:pPr>
      <w:r>
        <w:rPr>
          <w:rFonts w:hint="eastAsia" w:hAnsi="仿宋_GB2312" w:cs="仿宋_GB2312"/>
          <w:b/>
          <w:bCs/>
          <w:szCs w:val="32"/>
        </w:rPr>
        <w:t>本府查明：</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rFonts w:hint="eastAsia" w:cs="仿宋_GB2312"/>
          <w:szCs w:val="32"/>
        </w:rPr>
      </w:pPr>
      <w:r>
        <w:rPr>
          <w:rFonts w:hint="eastAsia"/>
          <w:szCs w:val="32"/>
        </w:rPr>
        <w:t>第三人母亲</w:t>
      </w:r>
      <w:r>
        <w:rPr>
          <w:rFonts w:hint="eastAsia" w:ascii="仿宋_GB2312" w:eastAsia="仿宋_GB2312"/>
          <w:color w:val="auto"/>
          <w:sz w:val="32"/>
          <w:szCs w:val="32"/>
          <w:highlight w:val="none"/>
          <w:lang w:val="en-US" w:eastAsia="zh-CN"/>
        </w:rPr>
        <w:t>叶</w:t>
      </w:r>
      <w:r>
        <w:rPr>
          <w:rFonts w:hint="eastAsia"/>
          <w:lang w:val="en-US" w:eastAsia="zh-CN"/>
        </w:rPr>
        <w:t>某</w:t>
      </w:r>
      <w:r>
        <w:rPr>
          <w:rFonts w:hint="eastAsia"/>
          <w:szCs w:val="32"/>
        </w:rPr>
        <w:t>是</w:t>
      </w:r>
      <w:r>
        <w:rPr>
          <w:rFonts w:hint="eastAsia" w:cs="仿宋_GB2312"/>
          <w:szCs w:val="32"/>
        </w:rPr>
        <w:t>申请人的集体经济组织成员，后于200</w:t>
      </w:r>
      <w:r>
        <w:rPr>
          <w:rFonts w:hint="eastAsia" w:cs="仿宋_GB2312"/>
          <w:szCs w:val="32"/>
          <w:lang w:val="en-US" w:eastAsia="zh-CN"/>
        </w:rPr>
        <w:t>8</w:t>
      </w:r>
      <w:r>
        <w:rPr>
          <w:rFonts w:hint="eastAsia" w:cs="仿宋_GB2312"/>
          <w:szCs w:val="32"/>
        </w:rPr>
        <w:t>年</w:t>
      </w:r>
      <w:r>
        <w:rPr>
          <w:rFonts w:hint="eastAsia" w:cs="仿宋_GB2312"/>
          <w:szCs w:val="32"/>
          <w:lang w:val="en-US" w:eastAsia="zh-CN"/>
        </w:rPr>
        <w:t>2</w:t>
      </w:r>
      <w:r>
        <w:rPr>
          <w:rFonts w:hint="eastAsia" w:cs="仿宋_GB2312"/>
          <w:szCs w:val="32"/>
        </w:rPr>
        <w:t>月</w:t>
      </w:r>
      <w:r>
        <w:rPr>
          <w:rFonts w:hint="eastAsia" w:cs="仿宋_GB2312"/>
          <w:szCs w:val="32"/>
          <w:lang w:val="en-US" w:eastAsia="zh-CN"/>
        </w:rPr>
        <w:t>20</w:t>
      </w:r>
      <w:r>
        <w:rPr>
          <w:rFonts w:hint="eastAsia" w:cs="仿宋_GB2312"/>
          <w:szCs w:val="32"/>
        </w:rPr>
        <w:t>日与第三人父亲</w:t>
      </w:r>
      <w:r>
        <w:rPr>
          <w:rFonts w:hint="eastAsia" w:ascii="仿宋_GB2312" w:hAnsi="宋体" w:eastAsia="仿宋_GB2312" w:cs="宋体"/>
          <w:sz w:val="32"/>
          <w:szCs w:val="32"/>
        </w:rPr>
        <w:t>彭</w:t>
      </w:r>
      <w:r>
        <w:rPr>
          <w:rFonts w:hint="eastAsia"/>
          <w:lang w:val="en-US" w:eastAsia="zh-CN"/>
        </w:rPr>
        <w:t>某2</w:t>
      </w:r>
      <w:r>
        <w:rPr>
          <w:rFonts w:hint="eastAsia" w:hAnsi="Times New Roman"/>
          <w:szCs w:val="32"/>
        </w:rPr>
        <w:t>结婚，</w:t>
      </w:r>
      <w:r>
        <w:rPr>
          <w:rFonts w:hint="eastAsia" w:ascii="仿宋_GB2312" w:hAnsi="宋体" w:eastAsia="仿宋_GB2312" w:cs="宋体"/>
          <w:sz w:val="32"/>
          <w:szCs w:val="32"/>
        </w:rPr>
        <w:t>彭</w:t>
      </w:r>
      <w:r>
        <w:rPr>
          <w:rFonts w:hint="eastAsia"/>
          <w:lang w:val="en-US" w:eastAsia="zh-CN"/>
        </w:rPr>
        <w:t>某2</w:t>
      </w:r>
      <w:r>
        <w:rPr>
          <w:rFonts w:hint="eastAsia" w:hAnsi="Times New Roman"/>
          <w:szCs w:val="32"/>
        </w:rPr>
        <w:t>非</w:t>
      </w:r>
      <w:r>
        <w:rPr>
          <w:rFonts w:hint="eastAsia" w:cs="仿宋_GB2312"/>
          <w:szCs w:val="32"/>
        </w:rPr>
        <w:t>申请人的集体经济组织成员。</w:t>
      </w:r>
      <w:r>
        <w:rPr>
          <w:rFonts w:hint="eastAsia"/>
          <w:szCs w:val="32"/>
        </w:rPr>
        <w:t>第三人于2014年9月16日出生，其出生符合计划生育政策，2015年1月14日出生申报入户</w:t>
      </w:r>
      <w:r>
        <w:rPr>
          <w:rFonts w:hint="eastAsia"/>
          <w:szCs w:val="32"/>
          <w:lang w:eastAsia="zh-CN"/>
        </w:rPr>
        <w:t>申请人处</w:t>
      </w:r>
      <w:r>
        <w:rPr>
          <w:rFonts w:hint="eastAsia"/>
          <w:szCs w:val="32"/>
        </w:rPr>
        <w:t>，户籍一直保留在申请人处</w:t>
      </w:r>
      <w:r>
        <w:rPr>
          <w:rFonts w:hint="eastAsia"/>
          <w:szCs w:val="32"/>
          <w:lang w:eastAsia="zh-CN"/>
        </w:rPr>
        <w:t>。</w:t>
      </w:r>
      <w:r>
        <w:rPr>
          <w:rFonts w:hint="eastAsia"/>
          <w:szCs w:val="32"/>
        </w:rPr>
        <w:t>第三人于2009年至2016年一直享受申请人分红分配福利待遇，2017年被停发分红分配福利待遇。</w:t>
      </w:r>
      <w:r>
        <w:rPr>
          <w:rFonts w:hint="eastAsia" w:cs="仿宋_GB2312"/>
          <w:szCs w:val="32"/>
        </w:rPr>
        <w:t>2023年</w:t>
      </w:r>
      <w:r>
        <w:rPr>
          <w:rFonts w:hint="eastAsia" w:cs="仿宋_GB2312"/>
          <w:szCs w:val="32"/>
          <w:lang w:val="en-US" w:eastAsia="zh-CN"/>
        </w:rPr>
        <w:t>1</w:t>
      </w:r>
      <w:r>
        <w:rPr>
          <w:rFonts w:hint="eastAsia" w:cs="仿宋_GB2312"/>
          <w:szCs w:val="32"/>
        </w:rPr>
        <w:t>月</w:t>
      </w:r>
      <w:r>
        <w:rPr>
          <w:rFonts w:hint="eastAsia" w:cs="仿宋_GB2312"/>
          <w:szCs w:val="32"/>
          <w:lang w:val="en-US" w:eastAsia="zh-CN"/>
        </w:rPr>
        <w:t>31</w:t>
      </w:r>
      <w:r>
        <w:rPr>
          <w:rFonts w:hint="eastAsia" w:cs="仿宋_GB2312"/>
          <w:szCs w:val="32"/>
        </w:rPr>
        <w:t>日，第三人向被申请人提交《行政处理申请书》，请求确认具有申请人的集体经济组织成员资格并享有成员同等待遇。被申请人立案受理后，于2023年</w:t>
      </w:r>
      <w:r>
        <w:rPr>
          <w:rFonts w:hint="eastAsia" w:cs="仿宋_GB2312"/>
          <w:szCs w:val="32"/>
          <w:lang w:val="en-US" w:eastAsia="zh-CN"/>
        </w:rPr>
        <w:t>4</w:t>
      </w:r>
      <w:r>
        <w:rPr>
          <w:rFonts w:hint="eastAsia" w:cs="仿宋_GB2312"/>
          <w:szCs w:val="32"/>
        </w:rPr>
        <w:t>月</w:t>
      </w:r>
      <w:r>
        <w:rPr>
          <w:rFonts w:hint="eastAsia" w:cs="仿宋_GB2312"/>
          <w:szCs w:val="32"/>
          <w:lang w:val="en-US" w:eastAsia="zh-CN"/>
        </w:rPr>
        <w:t>3</w:t>
      </w:r>
      <w:r>
        <w:rPr>
          <w:rFonts w:hint="eastAsia" w:cs="仿宋_GB2312"/>
          <w:szCs w:val="32"/>
        </w:rPr>
        <w:t>日作出《行政处理告知书》，</w:t>
      </w:r>
      <w:r>
        <w:rPr>
          <w:rFonts w:hint="eastAsia"/>
        </w:rPr>
        <w:t>分别于2023年4月</w:t>
      </w:r>
      <w:r>
        <w:rPr>
          <w:rFonts w:hint="eastAsia"/>
          <w:lang w:val="en-US" w:eastAsia="zh-CN"/>
        </w:rPr>
        <w:t>1</w:t>
      </w:r>
      <w:r>
        <w:rPr>
          <w:rFonts w:hint="eastAsia"/>
        </w:rPr>
        <w:t>4日送达第三人、于4月</w:t>
      </w:r>
      <w:r>
        <w:rPr>
          <w:rFonts w:hint="eastAsia"/>
          <w:lang w:val="en-US" w:eastAsia="zh-CN"/>
        </w:rPr>
        <w:t>1</w:t>
      </w:r>
      <w:r>
        <w:rPr>
          <w:rFonts w:hint="eastAsia"/>
        </w:rPr>
        <w:t>4日留置送达申请人。</w:t>
      </w:r>
      <w:r>
        <w:rPr>
          <w:rFonts w:hint="eastAsia" w:cs="仿宋_GB2312"/>
          <w:szCs w:val="32"/>
        </w:rPr>
        <w:t>2023年5月2</w:t>
      </w:r>
      <w:r>
        <w:rPr>
          <w:rFonts w:hint="eastAsia" w:cs="仿宋_GB2312"/>
          <w:szCs w:val="32"/>
          <w:lang w:val="en-US" w:eastAsia="zh-CN"/>
        </w:rPr>
        <w:t>0</w:t>
      </w:r>
      <w:r>
        <w:rPr>
          <w:rFonts w:hint="eastAsia" w:cs="仿宋_GB2312"/>
          <w:szCs w:val="32"/>
        </w:rPr>
        <w:t>日被申请人作出《行政处理决定书》，确认第三人具有申请人的成员资格并享有成员同等待遇，并于2023年5月</w:t>
      </w:r>
      <w:r>
        <w:rPr>
          <w:rFonts w:hint="eastAsia" w:cs="仿宋_GB2312"/>
          <w:szCs w:val="32"/>
          <w:lang w:val="en-US" w:eastAsia="zh-CN"/>
        </w:rPr>
        <w:t>29</w:t>
      </w:r>
      <w:r>
        <w:rPr>
          <w:rFonts w:hint="eastAsia" w:cs="仿宋_GB2312"/>
          <w:szCs w:val="32"/>
        </w:rPr>
        <w:t>日直接送达第三人，于2023年5月</w:t>
      </w:r>
      <w:r>
        <w:rPr>
          <w:rFonts w:hint="eastAsia" w:cs="仿宋_GB2312"/>
          <w:szCs w:val="32"/>
          <w:lang w:val="en-US" w:eastAsia="zh-CN"/>
        </w:rPr>
        <w:t>30</w:t>
      </w:r>
      <w:r>
        <w:rPr>
          <w:rFonts w:hint="eastAsia" w:cs="仿宋_GB2312"/>
          <w:szCs w:val="32"/>
        </w:rPr>
        <w:t>日留置送达申请人。申请人不服，遂于2023年7月10日到本府申请行政复议。</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szCs w:val="32"/>
        </w:rPr>
      </w:pPr>
      <w:r>
        <w:rPr>
          <w:rFonts w:hint="eastAsia" w:cs="仿宋_GB2312"/>
          <w:szCs w:val="32"/>
        </w:rPr>
        <w:t>另查明，申请人于2021年11月30日通过的《三水区大塘镇</w:t>
      </w:r>
      <w:r>
        <w:rPr>
          <w:rFonts w:hint="eastAsia" w:cs="仿宋_GB2312"/>
          <w:szCs w:val="32"/>
          <w:lang w:eastAsia="zh-CN"/>
        </w:rPr>
        <w:t>某</w:t>
      </w:r>
      <w:r>
        <w:rPr>
          <w:rFonts w:hint="eastAsia" w:cs="仿宋_GB2312"/>
          <w:szCs w:val="32"/>
        </w:rPr>
        <w:t>股份经济合作社章程》（以下简称《</w:t>
      </w:r>
      <w:r>
        <w:rPr>
          <w:rFonts w:hint="eastAsia" w:cs="仿宋_GB2312"/>
          <w:szCs w:val="32"/>
          <w:lang w:eastAsia="zh-CN"/>
        </w:rPr>
        <w:t>***</w:t>
      </w:r>
      <w:r>
        <w:rPr>
          <w:rFonts w:hint="eastAsia" w:cs="仿宋_GB2312"/>
          <w:szCs w:val="32"/>
        </w:rPr>
        <w:t>村2021年章程》）中第三章第十一</w:t>
      </w:r>
      <w:r>
        <w:rPr>
          <w:rFonts w:hint="eastAsia"/>
          <w:szCs w:val="32"/>
        </w:rPr>
        <w:t>条规定：《中共佛山市三水区委 佛山市三水区人民政府关于落实农村出嫁女及其子女合法权益的意见》（三委发﹝2009﹞10号）规定具有本社成员资格的出嫁女及其子女</w:t>
      </w:r>
      <w:r>
        <w:rPr>
          <w:rFonts w:hint="eastAsia"/>
          <w:szCs w:val="32"/>
          <w:lang w:val="en-US" w:eastAsia="zh-CN"/>
        </w:rPr>
        <w:t>为本社自然配置股东</w:t>
      </w:r>
      <w:r>
        <w:rPr>
          <w:rFonts w:hint="eastAsia"/>
          <w:szCs w:val="32"/>
        </w:rPr>
        <w:t>。</w:t>
      </w:r>
    </w:p>
    <w:p>
      <w:pPr>
        <w:pStyle w:val="24"/>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szCs w:val="32"/>
        </w:rPr>
      </w:pPr>
      <w:r>
        <w:rPr>
          <w:rFonts w:hint="eastAsia"/>
          <w:szCs w:val="32"/>
        </w:rPr>
        <w:t>以上事实，有第三人身份证、户口本及其父母身份证、户口本、结婚证、计生证及相关村委证明、《章程》《行政处理申请书》《行政处理告知书》《行政处理决定书》及送达回证等证据证实。</w:t>
      </w:r>
    </w:p>
    <w:p>
      <w:pPr>
        <w:pStyle w:val="24"/>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szCs w:val="32"/>
        </w:rPr>
      </w:pPr>
      <w:r>
        <w:rPr>
          <w:rFonts w:hint="eastAsia"/>
          <w:b/>
          <w:bCs/>
          <w:szCs w:val="32"/>
        </w:rPr>
        <w:t>本府认为：</w:t>
      </w:r>
    </w:p>
    <w:p>
      <w:pPr>
        <w:keepNext w:val="0"/>
        <w:keepLines w:val="0"/>
        <w:pageBreakBefore w:val="0"/>
        <w:widowControl w:val="0"/>
        <w:kinsoku/>
        <w:wordWrap/>
        <w:overflowPunct/>
        <w:topLinePunct w:val="0"/>
        <w:autoSpaceDE/>
        <w:autoSpaceDN/>
        <w:bidi w:val="0"/>
        <w:adjustRightInd/>
        <w:snapToGrid/>
        <w:spacing w:line="560" w:lineRule="exact"/>
        <w:ind w:left="0" w:firstLine="626" w:firstLineChars="198"/>
      </w:pPr>
      <w:r>
        <w:rPr>
          <w:rFonts w:hint="eastAsia"/>
        </w:rPr>
        <w:t>根据《中华人民共和国地方各级人民代表大会和地方各级人民政府组织法》第七十六条及《广东省农村集体经济组织管理规定》第四条，被申请人作为乡镇一级政府在辖区范围内可以依职权对村民与农村集体经济组织之间的纠纷作出行政处理，其作出案涉《行政处理决定书》主体适格。</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szCs w:val="32"/>
        </w:rPr>
      </w:pPr>
      <w:r>
        <w:rPr>
          <w:rFonts w:hint="eastAsia" w:cs="仿宋_GB2312"/>
          <w:szCs w:val="32"/>
        </w:rPr>
        <w:t>被申请人受理申请后分别向申请人、第三人书面告知了应享有的陈述、申辩、举证等权利，被申请人在进行调查、收集、审查相关证据材料，听取了当事人的陈述意见后作出案涉《行政处理决定书》，依法送达申请人、第三人，程序正当。</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rFonts w:hint="eastAsia" w:cs="仿宋_GB2312"/>
          <w:szCs w:val="32"/>
        </w:rPr>
      </w:pPr>
      <w:r>
        <w:rPr>
          <w:rFonts w:hint="eastAsia" w:cs="仿宋_GB2312"/>
          <w:szCs w:val="32"/>
        </w:rPr>
        <w:t>《广东省农村集体经济组织管理规定》第十五条第二款规定：“实行家庭承包经营为基础、统分结合的双层经营体制时起，集体经济组织成员所生的子女，户口在集体经济组织所在地，并履行法律法规和组织章程规定义务的，属于农村集体经济组织的成员。”第三人的母亲为申请人集体经济组织成员，第三人自出生就随母入户</w:t>
      </w:r>
      <w:r>
        <w:rPr>
          <w:rFonts w:hint="eastAsia" w:cs="仿宋_GB2312"/>
          <w:szCs w:val="32"/>
          <w:lang w:val="en-US" w:eastAsia="zh-CN"/>
        </w:rPr>
        <w:t>该</w:t>
      </w:r>
      <w:r>
        <w:rPr>
          <w:rFonts w:hint="eastAsia" w:cs="仿宋_GB2312"/>
          <w:szCs w:val="32"/>
        </w:rPr>
        <w:t>村且此后户籍一直没有迁移，符合上述规定。因此，被申请人作出确认第三人的成员资格及成员同等待遇的处理决定适用法律正确。</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rFonts w:hint="eastAsia" w:cs="仿宋_GB2312"/>
          <w:szCs w:val="32"/>
        </w:rPr>
      </w:pPr>
      <w:r>
        <w:rPr>
          <w:rFonts w:hint="eastAsia" w:cs="仿宋_GB2312"/>
          <w:szCs w:val="32"/>
        </w:rPr>
        <w:t>《广东省实施&lt;中华人民共和国妇女权益保障法&gt;办法》第二十四条规定：“农村集体经济组织成员中的妇女，结婚后户口仍在原农村集体经济组织所在地，或者离婚、丧偶后户口仍在男方家所在地，并履行集体经济组织章程义务的，在土地承包经营、集体经济组织收益分配、股权分配、土地征收或者征用补偿费使用以及宅基地使用等方面，享有与本农村集体经济组织其他成员平等的权益。符合生育规定且户口与妇女在同一农村集体经济组织所在地的子女，履行集体经济组织章程义务的，享有前款规定的各项权益。”《中共佛山市三水区委 佛山市三水区人民政府关于落实农村出嫁女及其子女合法权益的意见》（三委发〔2009〕10号）文件亦规定对于符合农村集体经济组织成员资格的农村出嫁女及其子女的合法权益的，农村集体经济组织必须将其相关权益条款明确写入股份社章程中予以保障。因此第三人是该集体经济组织成员所生的子女，出生后随母入户</w:t>
      </w:r>
      <w:r>
        <w:rPr>
          <w:rFonts w:hint="eastAsia" w:cs="仿宋_GB2312"/>
          <w:szCs w:val="32"/>
          <w:lang w:val="en-US" w:eastAsia="zh-CN"/>
        </w:rPr>
        <w:t>该</w:t>
      </w:r>
      <w:r>
        <w:rPr>
          <w:rFonts w:hint="eastAsia" w:cs="仿宋_GB2312"/>
          <w:szCs w:val="32"/>
        </w:rPr>
        <w:t>村，其出生符合计划生育政策，且至今户口从未迁出，曾经享受过申请人的股份分红分配待遇（20</w:t>
      </w:r>
      <w:r>
        <w:rPr>
          <w:rFonts w:hint="eastAsia" w:cs="仿宋_GB2312"/>
          <w:szCs w:val="32"/>
          <w:lang w:val="en-US" w:eastAsia="zh-CN"/>
        </w:rPr>
        <w:t>09</w:t>
      </w:r>
      <w:r>
        <w:rPr>
          <w:rFonts w:hint="eastAsia" w:cs="仿宋_GB2312"/>
          <w:szCs w:val="32"/>
        </w:rPr>
        <w:t>年度至201</w:t>
      </w:r>
      <w:r>
        <w:rPr>
          <w:rFonts w:hint="eastAsia" w:cs="仿宋_GB2312"/>
          <w:szCs w:val="32"/>
          <w:lang w:val="en-US" w:eastAsia="zh-CN"/>
        </w:rPr>
        <w:t>6</w:t>
      </w:r>
      <w:r>
        <w:rPr>
          <w:rFonts w:hint="eastAsia" w:cs="仿宋_GB2312"/>
          <w:szCs w:val="32"/>
        </w:rPr>
        <w:t>年度），应当享有申请人其他成员同等待遇。被申请人作出的《行政处理决定书》认定事实清楚，证据确凿、充分，适用法律正确，程序正当，内容适当，本府予以支持。</w:t>
      </w:r>
      <w:r>
        <w:rPr>
          <w:rFonts w:hint="eastAsia" w:cs="仿宋_GB2312"/>
          <w:szCs w:val="32"/>
          <w:lang w:val="en-US" w:eastAsia="zh-CN"/>
        </w:rPr>
        <w:t>关于</w:t>
      </w:r>
      <w:r>
        <w:rPr>
          <w:rFonts w:hint="eastAsia" w:cs="仿宋_GB2312"/>
          <w:szCs w:val="32"/>
        </w:rPr>
        <w:t>申请人</w:t>
      </w:r>
      <w:r>
        <w:rPr>
          <w:rFonts w:hint="eastAsia" w:cs="仿宋_GB2312"/>
          <w:szCs w:val="32"/>
          <w:lang w:val="en-US" w:eastAsia="zh-CN"/>
        </w:rPr>
        <w:t>所述的</w:t>
      </w:r>
      <w:r>
        <w:rPr>
          <w:rFonts w:hint="eastAsia" w:cs="仿宋_GB2312"/>
          <w:szCs w:val="32"/>
        </w:rPr>
        <w:t>复议理由</w:t>
      </w:r>
      <w:r>
        <w:rPr>
          <w:rFonts w:hint="eastAsia" w:cs="仿宋_GB2312"/>
          <w:szCs w:val="32"/>
          <w:lang w:val="en-US" w:eastAsia="zh-CN"/>
        </w:rPr>
        <w:t>于法无据</w:t>
      </w:r>
      <w:r>
        <w:rPr>
          <w:rFonts w:hint="eastAsia" w:cs="仿宋_GB2312"/>
          <w:szCs w:val="32"/>
        </w:rPr>
        <w:t>，本府不予采纳。</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rPr>
          <w:rFonts w:cs="仿宋_GB2312"/>
          <w:b/>
          <w:bCs/>
          <w:szCs w:val="32"/>
        </w:rPr>
      </w:pPr>
      <w:r>
        <w:rPr>
          <w:rFonts w:hint="eastAsia" w:cs="仿宋_GB2312"/>
          <w:b/>
          <w:bCs/>
          <w:szCs w:val="32"/>
        </w:rPr>
        <w:t>本府决定：</w:t>
      </w:r>
    </w:p>
    <w:p>
      <w:pPr>
        <w:pStyle w:val="32"/>
        <w:keepNext w:val="0"/>
        <w:keepLines w:val="0"/>
        <w:pageBreakBefore w:val="0"/>
        <w:widowControl w:val="0"/>
        <w:kinsoku/>
        <w:wordWrap/>
        <w:overflowPunct/>
        <w:topLinePunct w:val="0"/>
        <w:autoSpaceDE/>
        <w:autoSpaceDN/>
        <w:bidi w:val="0"/>
        <w:adjustRightInd/>
        <w:snapToGrid/>
        <w:spacing w:line="560" w:lineRule="exact"/>
        <w:ind w:left="0" w:right="0" w:rightChars="0" w:firstLine="632" w:firstLineChars="200"/>
        <w:jc w:val="both"/>
        <w:textAlignment w:val="auto"/>
        <w:rPr>
          <w:rFonts w:hint="eastAsia"/>
          <w:szCs w:val="32"/>
        </w:rPr>
      </w:pPr>
      <w:r>
        <w:rPr>
          <w:rFonts w:hint="eastAsia" w:hAnsi="仿宋_GB2312" w:cs="仿宋_GB2312"/>
          <w:szCs w:val="32"/>
        </w:rPr>
        <w:t>根据《</w:t>
      </w:r>
      <w:r>
        <w:rPr>
          <w:rFonts w:hint="eastAsia"/>
          <w:szCs w:val="32"/>
        </w:rPr>
        <w:t>中华人民共和国行政复议法</w:t>
      </w:r>
      <w:r>
        <w:rPr>
          <w:rFonts w:hint="eastAsia" w:hAnsi="仿宋_GB2312" w:cs="仿宋_GB2312"/>
          <w:szCs w:val="32"/>
        </w:rPr>
        <w:t>》</w:t>
      </w:r>
      <w:r>
        <w:rPr>
          <w:rFonts w:hint="eastAsia"/>
          <w:szCs w:val="32"/>
        </w:rPr>
        <w:t>第二十八条第一款第（一）项之规定，维持被申请人</w:t>
      </w:r>
      <w:r>
        <w:rPr>
          <w:rFonts w:hint="eastAsia" w:cs="仿宋_GB2312"/>
          <w:sz w:val="32"/>
          <w:szCs w:val="32"/>
          <w:lang w:val="en-US" w:eastAsia="zh-CN"/>
        </w:rPr>
        <w:t>佛山市三水区大塘镇人民政府</w:t>
      </w:r>
      <w:r>
        <w:rPr>
          <w:rFonts w:hint="eastAsia"/>
          <w:szCs w:val="32"/>
          <w:lang w:val="en-US" w:eastAsia="zh-CN"/>
        </w:rPr>
        <w:t>于</w:t>
      </w:r>
      <w:r>
        <w:rPr>
          <w:rFonts w:hint="eastAsia" w:ascii="仿宋_GB2312" w:eastAsia="仿宋_GB2312"/>
          <w:sz w:val="32"/>
          <w:szCs w:val="32"/>
        </w:rPr>
        <w:t>2023年5月20日作出的《行政处理决定书》（大府行决〔2023〕3</w:t>
      </w:r>
      <w:r>
        <w:rPr>
          <w:rFonts w:hint="eastAsia"/>
          <w:sz w:val="32"/>
          <w:szCs w:val="32"/>
          <w:lang w:val="en-US" w:eastAsia="zh-CN"/>
        </w:rPr>
        <w:t>4</w:t>
      </w:r>
      <w:r>
        <w:rPr>
          <w:rFonts w:hint="eastAsia" w:ascii="仿宋_GB2312" w:eastAsia="仿宋_GB2312"/>
          <w:sz w:val="32"/>
          <w:szCs w:val="32"/>
        </w:rPr>
        <w:t>号）</w:t>
      </w:r>
      <w:r>
        <w:rPr>
          <w:rFonts w:hint="eastAsia"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jc w:val="both"/>
        <w:textAlignment w:val="auto"/>
        <w:rPr>
          <w:rFonts w:hint="eastAsia" w:cs="仿宋_GB2312"/>
          <w:szCs w:val="32"/>
        </w:rPr>
      </w:pPr>
      <w:r>
        <w:rPr>
          <w:rFonts w:hint="eastAsia" w:cs="仿宋_GB2312"/>
          <w:szCs w:val="32"/>
        </w:rPr>
        <w:t xml:space="preserve">    如不服本行政复议决定，可以在收到本《行政复议决定书》之日起15日内，以</w:t>
      </w:r>
      <w:r>
        <w:rPr>
          <w:rFonts w:hint="eastAsia" w:cs="仿宋_GB2312"/>
          <w:sz w:val="32"/>
          <w:szCs w:val="32"/>
          <w:lang w:val="en-US" w:eastAsia="zh-CN"/>
        </w:rPr>
        <w:t>佛山市三水区大塘镇人民政府</w:t>
      </w:r>
      <w:r>
        <w:rPr>
          <w:rFonts w:hint="eastAsia" w:cs="仿宋_GB2312"/>
          <w:szCs w:val="32"/>
        </w:rPr>
        <w:t>与本府为共同被告向佛山市顺德区人民法院提起诉讼。</w:t>
      </w:r>
    </w:p>
    <w:p>
      <w:pPr>
        <w:pStyle w:val="24"/>
        <w:keepNext w:val="0"/>
        <w:keepLines w:val="0"/>
        <w:pageBreakBefore w:val="0"/>
        <w:widowControl w:val="0"/>
        <w:kinsoku/>
        <w:wordWrap/>
        <w:overflowPunct/>
        <w:topLinePunct w:val="0"/>
        <w:autoSpaceDE/>
        <w:autoSpaceDN/>
        <w:bidi w:val="0"/>
        <w:adjustRightInd/>
        <w:snapToGrid/>
        <w:spacing w:line="560" w:lineRule="exact"/>
        <w:ind w:left="0"/>
        <w:rPr>
          <w:rFonts w:hint="eastAsia"/>
          <w:szCs w:val="32"/>
        </w:rPr>
      </w:pPr>
      <w:r>
        <w:rPr>
          <w:rFonts w:hint="eastAsia"/>
          <w:szCs w:val="32"/>
        </w:rPr>
        <w:t xml:space="preserve">                            </w:t>
      </w:r>
    </w:p>
    <w:p>
      <w:pPr>
        <w:pStyle w:val="24"/>
        <w:keepNext w:val="0"/>
        <w:keepLines w:val="0"/>
        <w:pageBreakBefore w:val="0"/>
        <w:widowControl w:val="0"/>
        <w:kinsoku/>
        <w:wordWrap/>
        <w:overflowPunct/>
        <w:topLinePunct w:val="0"/>
        <w:autoSpaceDE/>
        <w:autoSpaceDN/>
        <w:bidi w:val="0"/>
        <w:adjustRightInd/>
        <w:snapToGrid/>
        <w:spacing w:line="560" w:lineRule="exact"/>
        <w:ind w:left="0"/>
        <w:rPr>
          <w:rFonts w:hint="eastAsia"/>
          <w:szCs w:val="32"/>
        </w:rPr>
      </w:pPr>
    </w:p>
    <w:p>
      <w:pPr>
        <w:pStyle w:val="24"/>
        <w:keepNext w:val="0"/>
        <w:keepLines w:val="0"/>
        <w:pageBreakBefore w:val="0"/>
        <w:widowControl w:val="0"/>
        <w:kinsoku/>
        <w:wordWrap/>
        <w:overflowPunct/>
        <w:topLinePunct w:val="0"/>
        <w:autoSpaceDE/>
        <w:autoSpaceDN/>
        <w:bidi w:val="0"/>
        <w:adjustRightInd/>
        <w:snapToGrid/>
        <w:spacing w:line="560" w:lineRule="exact"/>
        <w:ind w:left="0"/>
        <w:rPr>
          <w:rFonts w:hint="eastAsia"/>
          <w:szCs w:val="32"/>
        </w:rPr>
      </w:pP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5056" w:firstLineChars="1600"/>
        <w:jc w:val="both"/>
        <w:textAlignment w:val="auto"/>
        <w:rPr>
          <w:rFonts w:hint="eastAsia"/>
          <w:szCs w:val="32"/>
        </w:rPr>
      </w:pPr>
      <w:r>
        <w:rPr>
          <w:rFonts w:hint="eastAsia" w:cs="仿宋_GB2312"/>
          <w:szCs w:val="32"/>
        </w:rPr>
        <w:t>佛山市三水区人民政府</w:t>
      </w:r>
    </w:p>
    <w:p>
      <w:pPr>
        <w:pStyle w:val="24"/>
        <w:keepNext w:val="0"/>
        <w:keepLines w:val="0"/>
        <w:pageBreakBefore w:val="0"/>
        <w:widowControl w:val="0"/>
        <w:kinsoku/>
        <w:wordWrap/>
        <w:overflowPunct/>
        <w:topLinePunct w:val="0"/>
        <w:autoSpaceDE/>
        <w:autoSpaceDN/>
        <w:bidi w:val="0"/>
        <w:adjustRightInd/>
        <w:snapToGrid/>
        <w:spacing w:line="560" w:lineRule="exact"/>
        <w:ind w:left="0"/>
        <w:rPr>
          <w:rFonts w:hint="eastAsia" w:hAnsi="仿宋_GB2312" w:cs="仿宋_GB2312"/>
          <w:szCs w:val="32"/>
        </w:rPr>
      </w:pPr>
      <w:r>
        <w:rPr>
          <w:rFonts w:hint="eastAsia"/>
          <w:szCs w:val="32"/>
        </w:rPr>
        <w:t xml:space="preserve">      </w:t>
      </w:r>
      <w:r>
        <w:rPr>
          <w:rFonts w:hint="eastAsia"/>
          <w:szCs w:val="32"/>
          <w:lang w:val="en-US" w:eastAsia="zh-CN"/>
        </w:rPr>
        <w:t xml:space="preserve">                             </w:t>
      </w:r>
      <w:r>
        <w:rPr>
          <w:rFonts w:hint="eastAsia" w:hAnsi="仿宋_GB2312" w:cs="仿宋_GB2312"/>
          <w:szCs w:val="32"/>
        </w:rPr>
        <w:t>2023年</w:t>
      </w:r>
      <w:r>
        <w:rPr>
          <w:rFonts w:hint="eastAsia" w:hAnsi="仿宋_GB2312" w:cs="仿宋_GB2312"/>
          <w:szCs w:val="32"/>
          <w:lang w:val="en-US" w:eastAsia="zh-CN"/>
        </w:rPr>
        <w:t>9</w:t>
      </w:r>
      <w:r>
        <w:rPr>
          <w:rFonts w:hint="eastAsia" w:hAnsi="仿宋_GB2312" w:cs="仿宋_GB2312"/>
          <w:szCs w:val="32"/>
        </w:rPr>
        <w:t>月</w:t>
      </w:r>
      <w:r>
        <w:rPr>
          <w:rFonts w:hint="eastAsia" w:hAnsi="仿宋_GB2312" w:cs="仿宋_GB2312"/>
          <w:szCs w:val="32"/>
          <w:lang w:val="en-US" w:eastAsia="zh-CN"/>
        </w:rPr>
        <w:t>5</w:t>
      </w:r>
      <w:r>
        <w:rPr>
          <w:rFonts w:hint="eastAsia" w:hAnsi="仿宋_GB2312" w:cs="仿宋_GB2312"/>
          <w:szCs w:val="32"/>
        </w:rPr>
        <w:t>日</w:t>
      </w:r>
    </w:p>
    <w:p>
      <w:pPr>
        <w:rPr>
          <w:rFonts w:hint="eastAsia" w:hAnsi="仿宋_GB2312" w:cs="仿宋_GB2312"/>
          <w:szCs w:val="32"/>
        </w:rPr>
      </w:pPr>
    </w:p>
    <w:p>
      <w:pPr>
        <w:rPr>
          <w:rFonts w:hint="eastAsia" w:hAnsi="仿宋_GB2312" w:cs="仿宋_GB2312"/>
          <w:szCs w:val="32"/>
        </w:rPr>
      </w:pPr>
    </w:p>
    <w:p>
      <w:pPr>
        <w:rPr>
          <w:rFonts w:hint="eastAsia" w:hAnsi="仿宋_GB2312" w:cs="仿宋_GB2312"/>
          <w:szCs w:val="32"/>
        </w:rPr>
      </w:pPr>
    </w:p>
    <w:p>
      <w:pPr>
        <w:rPr>
          <w:rFonts w:hint="eastAsia" w:hAnsi="仿宋_GB2312" w:cs="仿宋_GB2312"/>
          <w:szCs w:val="32"/>
        </w:rPr>
      </w:pPr>
    </w:p>
    <w:p>
      <w:pPr>
        <w:rPr>
          <w:rFonts w:hint="eastAsia" w:hAnsi="仿宋_GB2312" w:cs="仿宋_GB2312"/>
          <w:szCs w:val="32"/>
        </w:rPr>
      </w:pPr>
    </w:p>
    <w:p>
      <w:pPr>
        <w:rPr>
          <w:rFonts w:hint="eastAsia" w:hAnsi="仿宋_GB2312" w:cs="仿宋_GB2312"/>
          <w:szCs w:val="32"/>
        </w:rPr>
      </w:pPr>
    </w:p>
    <w:p>
      <w:pPr>
        <w:tabs>
          <w:tab w:val="left" w:pos="706"/>
        </w:tabs>
        <w:jc w:val="left"/>
        <w:rPr>
          <w:rFonts w:hint="eastAsia" w:cs="仿宋_GB2312"/>
          <w:szCs w:val="32"/>
          <w:lang w:eastAsia="zh-CN"/>
        </w:rPr>
      </w:pPr>
      <w:r>
        <w:rPr>
          <w:rFonts w:hint="eastAsia" w:cs="仿宋_GB2312"/>
          <w:szCs w:val="32"/>
          <w:lang w:eastAsia="zh-CN"/>
        </w:rPr>
        <w:tab/>
      </w:r>
    </w:p>
    <w:p>
      <w:pPr>
        <w:tabs>
          <w:tab w:val="left" w:pos="706"/>
        </w:tabs>
        <w:jc w:val="left"/>
        <w:rPr>
          <w:rFonts w:hint="eastAsia" w:cs="仿宋_GB2312"/>
          <w:szCs w:val="32"/>
          <w:lang w:eastAsia="zh-CN"/>
        </w:rPr>
      </w:pPr>
    </w:p>
    <w:p>
      <w:pPr>
        <w:tabs>
          <w:tab w:val="left" w:pos="706"/>
        </w:tabs>
        <w:jc w:val="left"/>
        <w:rPr>
          <w:rFonts w:hint="eastAsia" w:cs="仿宋_GB2312"/>
          <w:szCs w:val="32"/>
          <w:lang w:eastAsia="zh-CN"/>
        </w:rPr>
      </w:pPr>
    </w:p>
    <w:p>
      <w:pPr>
        <w:tabs>
          <w:tab w:val="left" w:pos="706"/>
        </w:tabs>
        <w:jc w:val="left"/>
        <w:rPr>
          <w:rFonts w:hint="eastAsia" w:cs="仿宋_GB2312"/>
          <w:szCs w:val="32"/>
          <w:lang w:eastAsia="zh-CN"/>
        </w:rPr>
      </w:pPr>
    </w:p>
    <w:p>
      <w:pPr>
        <w:tabs>
          <w:tab w:val="left" w:pos="706"/>
        </w:tabs>
        <w:jc w:val="left"/>
        <w:rPr>
          <w:rFonts w:hint="eastAsia" w:cs="仿宋_GB2312"/>
          <w:szCs w:val="32"/>
          <w:lang w:eastAsia="zh-CN"/>
        </w:rPr>
      </w:pPr>
    </w:p>
    <w:p>
      <w:pPr>
        <w:tabs>
          <w:tab w:val="left" w:pos="706"/>
        </w:tabs>
        <w:jc w:val="left"/>
        <w:rPr>
          <w:rFonts w:hint="eastAsia" w:cs="仿宋_GB2312"/>
          <w:szCs w:val="32"/>
          <w:lang w:eastAsia="zh-CN"/>
        </w:rPr>
      </w:pPr>
    </w:p>
    <w:p>
      <w:pPr>
        <w:tabs>
          <w:tab w:val="left" w:pos="706"/>
        </w:tabs>
        <w:jc w:val="left"/>
        <w:rPr>
          <w:rFonts w:hint="eastAsia" w:cs="仿宋_GB2312"/>
          <w:szCs w:val="32"/>
          <w:lang w:eastAsia="zh-CN"/>
        </w:rPr>
      </w:pPr>
    </w:p>
    <w:p>
      <w:pPr>
        <w:tabs>
          <w:tab w:val="left" w:pos="706"/>
        </w:tabs>
        <w:jc w:val="left"/>
        <w:rPr>
          <w:rFonts w:hint="eastAsia" w:cs="仿宋_GB2312"/>
          <w:szCs w:val="32"/>
          <w:lang w:eastAsia="zh-CN"/>
        </w:rPr>
      </w:pPr>
      <w:bookmarkStart w:id="0" w:name="_GoBack"/>
      <w:bookmarkEnd w:id="0"/>
      <w:r>
        <w:rPr>
          <w:sz w:val="28"/>
        </w:rPr>
        <mc:AlternateContent>
          <mc:Choice Requires="wpg">
            <w:drawing>
              <wp:anchor distT="0" distB="0" distL="114300" distR="114300" simplePos="0" relativeHeight="251659264" behindDoc="0" locked="0" layoutInCell="1" allowOverlap="1">
                <wp:simplePos x="0" y="0"/>
                <wp:positionH relativeFrom="column">
                  <wp:posOffset>115570</wp:posOffset>
                </wp:positionH>
                <wp:positionV relativeFrom="paragraph">
                  <wp:posOffset>1185545</wp:posOffset>
                </wp:positionV>
                <wp:extent cx="5580380" cy="438150"/>
                <wp:effectExtent l="0" t="0" r="1270" b="0"/>
                <wp:wrapNone/>
                <wp:docPr id="5" name="组合 7"/>
                <wp:cNvGraphicFramePr/>
                <a:graphic xmlns:a="http://schemas.openxmlformats.org/drawingml/2006/main">
                  <a:graphicData uri="http://schemas.microsoft.com/office/word/2010/wordprocessingGroup">
                    <wpg:wgp>
                      <wpg:cNvGrpSpPr/>
                      <wpg:grpSpPr>
                        <a:xfrm>
                          <a:off x="0" y="0"/>
                          <a:ext cx="5580380" cy="438150"/>
                          <a:chOff x="7501" y="117445"/>
                          <a:chExt cx="8788" cy="690"/>
                        </a:xfrm>
                      </wpg:grpSpPr>
                      <wpg:grpSp>
                        <wpg:cNvPr id="3" name="组合 9"/>
                        <wpg:cNvGrpSpPr/>
                        <wpg:grpSpPr>
                          <a:xfrm>
                            <a:off x="7501" y="117498"/>
                            <a:ext cx="8788" cy="591"/>
                            <a:chOff x="7319" y="65111"/>
                            <a:chExt cx="8788" cy="591"/>
                          </a:xfrm>
                        </wpg:grpSpPr>
                        <wps:wsp>
                          <wps:cNvPr id="1" name="直线 37"/>
                          <wps:cNvCnPr/>
                          <wps:spPr>
                            <a:xfrm flipV="1">
                              <a:off x="7333" y="65111"/>
                              <a:ext cx="8775" cy="29"/>
                            </a:xfrm>
                            <a:prstGeom prst="line">
                              <a:avLst/>
                            </a:prstGeom>
                            <a:ln w="9525" cap="flat" cmpd="sng">
                              <a:solidFill>
                                <a:srgbClr val="000000"/>
                              </a:solidFill>
                              <a:prstDash val="solid"/>
                              <a:headEnd type="none" w="med" len="med"/>
                              <a:tailEnd type="none" w="med" len="med"/>
                            </a:ln>
                          </wps:spPr>
                          <wps:bodyPr upright="1"/>
                        </wps:wsp>
                        <wps:wsp>
                          <wps:cNvPr id="2" name="直线 38"/>
                          <wps:cNvCnPr/>
                          <wps:spPr>
                            <a:xfrm flipV="1">
                              <a:off x="7319" y="65674"/>
                              <a:ext cx="8775" cy="29"/>
                            </a:xfrm>
                            <a:prstGeom prst="line">
                              <a:avLst/>
                            </a:prstGeom>
                            <a:ln w="9525" cap="flat" cmpd="sng">
                              <a:solidFill>
                                <a:srgbClr val="000000"/>
                              </a:solidFill>
                              <a:prstDash val="solid"/>
                              <a:headEnd type="none" w="med" len="med"/>
                              <a:tailEnd type="none" w="med" len="med"/>
                            </a:ln>
                          </wps:spPr>
                          <wps:bodyPr upright="1"/>
                        </wps:wsp>
                      </wpg:grpSp>
                      <wps:wsp>
                        <wps:cNvPr id="4" name="文本框 11"/>
                        <wps:cNvSpPr txBox="1"/>
                        <wps:spPr>
                          <a:xfrm>
                            <a:off x="7545" y="117445"/>
                            <a:ext cx="5385" cy="690"/>
                          </a:xfrm>
                          <a:prstGeom prst="rect">
                            <a:avLst/>
                          </a:prstGeom>
                          <a:noFill/>
                          <a:ln w="15875">
                            <a:noFill/>
                          </a:ln>
                        </wps:spPr>
                        <wps:txbx>
                          <w:txbxContent>
                            <w:p>
                              <w:pPr>
                                <w:rPr>
                                  <w:sz w:val="28"/>
                                  <w:szCs w:val="28"/>
                                </w:rPr>
                              </w:pPr>
                              <w:r>
                                <w:rPr>
                                  <w:rFonts w:hint="eastAsia"/>
                                  <w:sz w:val="28"/>
                                  <w:szCs w:val="28"/>
                                </w:rPr>
                                <w:t>抄送：佛山市三水区农业农村局。</w:t>
                              </w:r>
                            </w:p>
                          </w:txbxContent>
                        </wps:txbx>
                        <wps:bodyPr upright="1"/>
                      </wps:wsp>
                    </wpg:wgp>
                  </a:graphicData>
                </a:graphic>
              </wp:anchor>
            </w:drawing>
          </mc:Choice>
          <mc:Fallback>
            <w:pict>
              <v:group id="组合 7" o:spid="_x0000_s1026" o:spt="203" style="position:absolute;left:0pt;margin-left:9.1pt;margin-top:93.35pt;height:34.5pt;width:439.4pt;z-index:251659264;mso-width-relative:page;mso-height-relative:page;" coordorigin="7501,117445" coordsize="8788,690" o:gfxdata="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">
                <o:lock v:ext="edit" aspectratio="f"/>
                <v:group id="组合 9" o:spid="_x0000_s1026" o:spt="203" style="position:absolute;left:7501;top:117498;height:591;width:8788;" coordorigin="7319,65111" coordsize="8788,591"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line id="直线 37" o:spid="_x0000_s1026" o:spt="20" style="position:absolute;left:7333;top:65111;flip:y;height:29;width:8775;" filled="f" stroked="t" coordsize="21600,21600" o:gfxdata="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parVugAAANo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38" o:spid="_x0000_s1026" o:spt="20" style="position:absolute;left:7319;top:65674;flip:y;height:29;width:8775;" filled="f" stroked="t" coordsize="21600,21600" o:gfxdata="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Hc0or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v:shape id="文本框 11" o:spid="_x0000_s1026" o:spt="202" type="#_x0000_t202" style="position:absolute;left:7545;top:117445;height:690;width:5385;" filled="f" stroked="f" coordsize="21600,21600" o:gfxdata="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fBxIS/&#10;AAAA2gAAAA8AAAAAAAAAAQAgAAAAIgAAAGRycy9kb3ducmV2LnhtbFBLAQIUABQAAAAIAIdO4kAz&#10;LwWeOwAAADkAAAAQAAAAAAAAAAEAIAAAAA4BAABkcnMvc2hhcGV4bWwueG1sUEsFBgAAAAAGAAYA&#10;WwEAALgDAAAAAA==&#10;">
                  <v:fill on="f" focussize="0,0"/>
                  <v:stroke on="f" weight="1.25pt"/>
                  <v:imagedata o:title=""/>
                  <o:lock v:ext="edit" aspectratio="f"/>
                  <v:textbox>
                    <w:txbxContent>
                      <w:p>
                        <w:pPr>
                          <w:rPr>
                            <w:sz w:val="28"/>
                            <w:szCs w:val="28"/>
                          </w:rPr>
                        </w:pPr>
                        <w:r>
                          <w:rPr>
                            <w:rFonts w:hint="eastAsia"/>
                            <w:sz w:val="28"/>
                            <w:szCs w:val="28"/>
                          </w:rPr>
                          <w:t>抄送：佛山市三水区农业农村局。</w:t>
                        </w:r>
                      </w:p>
                    </w:txbxContent>
                  </v:textbox>
                </v:shape>
              </v:group>
            </w:pict>
          </mc:Fallback>
        </mc:AlternateContent>
      </w:r>
    </w:p>
    <w:sectPr>
      <w:headerReference r:id="rId3" w:type="default"/>
      <w:footerReference r:id="rId4" w:type="default"/>
      <w:pgSz w:w="11906" w:h="16838"/>
      <w:pgMar w:top="1701" w:right="1474" w:bottom="1417" w:left="1587" w:header="851" w:footer="1417" w:gutter="0"/>
      <w:pgNumType w:fmt="numberInDash"/>
      <w:cols w:space="720" w:num="1"/>
      <w:docGrid w:type="linesAndChars" w:linePitch="527"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font-extend">
    <w:altName w:val="Segoe Print"/>
    <w:panose1 w:val="00000000000000000000"/>
    <w:charset w:val="00"/>
    <w:family w:val="auto"/>
    <w:pitch w:val="default"/>
    <w:sig w:usb0="00000000" w:usb1="00000000" w:usb2="00000000"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209550" cy="325755"/>
              <wp:effectExtent l="0" t="0" r="0" b="0"/>
              <wp:wrapNone/>
              <wp:docPr id="6" name="文本框1"/>
              <wp:cNvGraphicFramePr/>
              <a:graphic xmlns:a="http://schemas.openxmlformats.org/drawingml/2006/main">
                <a:graphicData uri="http://schemas.microsoft.com/office/word/2010/wordprocessingShape">
                  <wps:wsp>
                    <wps:cNvSpPr/>
                    <wps:spPr>
                      <a:xfrm>
                        <a:off x="0" y="0"/>
                        <a:ext cx="209550" cy="325755"/>
                      </a:xfrm>
                      <a:prstGeom prst="rect">
                        <a:avLst/>
                      </a:prstGeom>
                      <a:noFill/>
                      <a:ln w="9525">
                        <a:noFill/>
                      </a:ln>
                    </wps:spPr>
                    <wps:txbx>
                      <w:txbxContent>
                        <w:p>
                          <w:pPr>
                            <w:snapToGrid w:val="0"/>
                            <w:rPr>
                              <w:rFonts w:cs="仿宋_GB2312"/>
                              <w:sz w:val="28"/>
                              <w:szCs w:val="28"/>
                            </w:rPr>
                          </w:pPr>
                          <w:r>
                            <w:rPr>
                              <w:rFonts w:hint="eastAsia" w:cs="仿宋_GB2312"/>
                              <w:sz w:val="28"/>
                              <w:szCs w:val="28"/>
                            </w:rPr>
                            <w:fldChar w:fldCharType="begin"/>
                          </w:r>
                          <w:r>
                            <w:rPr>
                              <w:rFonts w:hint="eastAsia" w:cs="仿宋_GB2312"/>
                              <w:sz w:val="28"/>
                              <w:szCs w:val="28"/>
                            </w:rPr>
                            <w:instrText xml:space="preserve"> PAGE  \* MERGEFORMAT </w:instrText>
                          </w:r>
                          <w:r>
                            <w:rPr>
                              <w:rFonts w:hint="eastAsia" w:cs="仿宋_GB2312"/>
                              <w:sz w:val="28"/>
                              <w:szCs w:val="28"/>
                            </w:rPr>
                            <w:fldChar w:fldCharType="separate"/>
                          </w:r>
                          <w:r>
                            <w:t>- 6 -</w:t>
                          </w:r>
                          <w:r>
                            <w:rPr>
                              <w:rFonts w:hint="eastAsia" w:cs="仿宋_GB2312"/>
                              <w:sz w:val="28"/>
                              <w:szCs w:val="28"/>
                            </w:rPr>
                            <w:fldChar w:fldCharType="end"/>
                          </w:r>
                        </w:p>
                      </w:txbxContent>
                    </wps:txbx>
                    <wps:bodyPr wrap="none" lIns="0" tIns="0" rIns="0" bIns="0" upright="1">
                      <a:spAutoFit/>
                    </wps:bodyPr>
                  </wps:wsp>
                </a:graphicData>
              </a:graphic>
            </wp:anchor>
          </w:drawing>
        </mc:Choice>
        <mc:Fallback>
          <w:pict>
            <v:rect id="文本框1" o:spid="_x0000_s1026" o:spt="1" style="position:absolute;left:0pt;margin-top:0pt;height:25.65pt;width:16.5pt;mso-position-horizontal:outside;mso-position-horizontal-relative:margin;mso-wrap-style:none;z-index:251659264;mso-width-relative:page;mso-height-relative:page;" filled="f" stroked="f" coordsize="21600,21600" o:gfxdata="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DknIgNEAAAADAQAADwAAAAAAAAABACAAAAAiAAAAZHJzL2Rv&#10;d25yZXYueG1sUEsBAhQAFAAAAAgAh07iQDKDOTHPAQAAlQMAAA4AAAAAAAAAAQAgAAAAIAEAAGRy&#10;cy9lMm9Eb2MueG1sUEsFBgAAAAAGAAYAWQEAAGEFAAAAAA==&#10;">
              <v:fill on="f" focussize="0,0"/>
              <v:stroke on="f"/>
              <v:imagedata o:title=""/>
              <o:lock v:ext="edit" aspectratio="f"/>
              <v:textbox inset="0mm,0mm,0mm,0mm" style="mso-fit-shape-to-text:t;">
                <w:txbxContent>
                  <w:p>
                    <w:pPr>
                      <w:snapToGrid w:val="0"/>
                      <w:rPr>
                        <w:rFonts w:cs="仿宋_GB2312"/>
                        <w:sz w:val="28"/>
                        <w:szCs w:val="28"/>
                      </w:rPr>
                    </w:pPr>
                    <w:r>
                      <w:rPr>
                        <w:rFonts w:hint="eastAsia" w:cs="仿宋_GB2312"/>
                        <w:sz w:val="28"/>
                        <w:szCs w:val="28"/>
                      </w:rPr>
                      <w:fldChar w:fldCharType="begin"/>
                    </w:r>
                    <w:r>
                      <w:rPr>
                        <w:rFonts w:hint="eastAsia" w:cs="仿宋_GB2312"/>
                        <w:sz w:val="28"/>
                        <w:szCs w:val="28"/>
                      </w:rPr>
                      <w:instrText xml:space="preserve"> PAGE  \* MERGEFORMAT </w:instrText>
                    </w:r>
                    <w:r>
                      <w:rPr>
                        <w:rFonts w:hint="eastAsia" w:cs="仿宋_GB2312"/>
                        <w:sz w:val="28"/>
                        <w:szCs w:val="28"/>
                      </w:rPr>
                      <w:fldChar w:fldCharType="separate"/>
                    </w:r>
                    <w:r>
                      <w:t>- 6 -</w:t>
                    </w:r>
                    <w:r>
                      <w:rPr>
                        <w:rFonts w:hint="eastAsia" w:cs="仿宋_GB2312"/>
                        <w:sz w:val="28"/>
                        <w:szCs w:val="2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264"/>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jMTY3ODEyZmVmMzIyYjM2YjNhYTFiNzAxMWNiY2QifQ=="/>
  </w:docVars>
  <w:rsids>
    <w:rsidRoot w:val="00172A27"/>
    <w:rsid w:val="00172A27"/>
    <w:rsid w:val="001C28C1"/>
    <w:rsid w:val="00213A16"/>
    <w:rsid w:val="002C28C0"/>
    <w:rsid w:val="00485854"/>
    <w:rsid w:val="004D54BE"/>
    <w:rsid w:val="0050553F"/>
    <w:rsid w:val="00572879"/>
    <w:rsid w:val="005C497A"/>
    <w:rsid w:val="006E623E"/>
    <w:rsid w:val="007F27B0"/>
    <w:rsid w:val="00822A5F"/>
    <w:rsid w:val="00852778"/>
    <w:rsid w:val="009C77F2"/>
    <w:rsid w:val="00AD6CA3"/>
    <w:rsid w:val="00B0449B"/>
    <w:rsid w:val="00B10939"/>
    <w:rsid w:val="00B32A75"/>
    <w:rsid w:val="00B526EC"/>
    <w:rsid w:val="00BA1A54"/>
    <w:rsid w:val="00BA3F70"/>
    <w:rsid w:val="00C34524"/>
    <w:rsid w:val="00C64541"/>
    <w:rsid w:val="00C7549A"/>
    <w:rsid w:val="00EC7C16"/>
    <w:rsid w:val="02940018"/>
    <w:rsid w:val="02AE00E1"/>
    <w:rsid w:val="02E10B07"/>
    <w:rsid w:val="03197DDC"/>
    <w:rsid w:val="03227B9B"/>
    <w:rsid w:val="033412E1"/>
    <w:rsid w:val="03F53320"/>
    <w:rsid w:val="04FD30F6"/>
    <w:rsid w:val="052E10FB"/>
    <w:rsid w:val="054D15E1"/>
    <w:rsid w:val="05C03608"/>
    <w:rsid w:val="05D206DD"/>
    <w:rsid w:val="069E050A"/>
    <w:rsid w:val="070374E8"/>
    <w:rsid w:val="070D76F7"/>
    <w:rsid w:val="0721072E"/>
    <w:rsid w:val="072B0673"/>
    <w:rsid w:val="073D43F7"/>
    <w:rsid w:val="07412416"/>
    <w:rsid w:val="07AB74F7"/>
    <w:rsid w:val="07CE5369"/>
    <w:rsid w:val="08113D99"/>
    <w:rsid w:val="08232B64"/>
    <w:rsid w:val="08EC1816"/>
    <w:rsid w:val="09532CF0"/>
    <w:rsid w:val="0A8F226A"/>
    <w:rsid w:val="0B087185"/>
    <w:rsid w:val="0C044A3B"/>
    <w:rsid w:val="0C8072CD"/>
    <w:rsid w:val="0CE11D98"/>
    <w:rsid w:val="0D9C3EDC"/>
    <w:rsid w:val="0E02396F"/>
    <w:rsid w:val="0F931DA6"/>
    <w:rsid w:val="0FE91CA9"/>
    <w:rsid w:val="10406AFB"/>
    <w:rsid w:val="104C5B5B"/>
    <w:rsid w:val="10D70330"/>
    <w:rsid w:val="111F25AF"/>
    <w:rsid w:val="116910C4"/>
    <w:rsid w:val="117273C7"/>
    <w:rsid w:val="12240319"/>
    <w:rsid w:val="131B794B"/>
    <w:rsid w:val="13714464"/>
    <w:rsid w:val="13B9011A"/>
    <w:rsid w:val="14305FAF"/>
    <w:rsid w:val="143A798F"/>
    <w:rsid w:val="15051B40"/>
    <w:rsid w:val="151D31FA"/>
    <w:rsid w:val="15C86BFF"/>
    <w:rsid w:val="16E95B26"/>
    <w:rsid w:val="18A746DA"/>
    <w:rsid w:val="19711577"/>
    <w:rsid w:val="198D648A"/>
    <w:rsid w:val="199D1449"/>
    <w:rsid w:val="1A1B6D5B"/>
    <w:rsid w:val="1ADA5995"/>
    <w:rsid w:val="1B5139D6"/>
    <w:rsid w:val="1B6436A6"/>
    <w:rsid w:val="1BDF2F92"/>
    <w:rsid w:val="1BFF56B5"/>
    <w:rsid w:val="1C3C1B63"/>
    <w:rsid w:val="1CA41F61"/>
    <w:rsid w:val="1D13223F"/>
    <w:rsid w:val="1DBB2D9E"/>
    <w:rsid w:val="1E0A01ED"/>
    <w:rsid w:val="1ED8060C"/>
    <w:rsid w:val="1F1A1781"/>
    <w:rsid w:val="1FBE6A14"/>
    <w:rsid w:val="1FF54CC4"/>
    <w:rsid w:val="216B09F3"/>
    <w:rsid w:val="22112672"/>
    <w:rsid w:val="22B23081"/>
    <w:rsid w:val="23B607A4"/>
    <w:rsid w:val="23CA210F"/>
    <w:rsid w:val="24405746"/>
    <w:rsid w:val="253F7A9D"/>
    <w:rsid w:val="25AA4E3C"/>
    <w:rsid w:val="265E2CFF"/>
    <w:rsid w:val="2662542A"/>
    <w:rsid w:val="271370CD"/>
    <w:rsid w:val="28776B74"/>
    <w:rsid w:val="287B64F7"/>
    <w:rsid w:val="29096932"/>
    <w:rsid w:val="298F5CB9"/>
    <w:rsid w:val="29C0458C"/>
    <w:rsid w:val="29C0536F"/>
    <w:rsid w:val="29FB337B"/>
    <w:rsid w:val="2A06510B"/>
    <w:rsid w:val="2B7F67CB"/>
    <w:rsid w:val="2BCC2C19"/>
    <w:rsid w:val="2BD15D21"/>
    <w:rsid w:val="2BF61E4F"/>
    <w:rsid w:val="2C2011CB"/>
    <w:rsid w:val="2C3743F5"/>
    <w:rsid w:val="2D4846D8"/>
    <w:rsid w:val="2D6906EE"/>
    <w:rsid w:val="2DF02D02"/>
    <w:rsid w:val="2DFA7336"/>
    <w:rsid w:val="2E1972E2"/>
    <w:rsid w:val="2F1A5A56"/>
    <w:rsid w:val="2F5B483E"/>
    <w:rsid w:val="2FA329C6"/>
    <w:rsid w:val="308432D1"/>
    <w:rsid w:val="30867FAD"/>
    <w:rsid w:val="308C51F1"/>
    <w:rsid w:val="30AA4E5D"/>
    <w:rsid w:val="31080B9A"/>
    <w:rsid w:val="33DC3269"/>
    <w:rsid w:val="33F73C8A"/>
    <w:rsid w:val="35A12A09"/>
    <w:rsid w:val="35DA0DB4"/>
    <w:rsid w:val="3602697C"/>
    <w:rsid w:val="37071874"/>
    <w:rsid w:val="37E35B20"/>
    <w:rsid w:val="386E3C97"/>
    <w:rsid w:val="393D38CD"/>
    <w:rsid w:val="396533F5"/>
    <w:rsid w:val="39CC235D"/>
    <w:rsid w:val="39E92BCE"/>
    <w:rsid w:val="39F17956"/>
    <w:rsid w:val="3A7F5470"/>
    <w:rsid w:val="3AED147F"/>
    <w:rsid w:val="3B452C74"/>
    <w:rsid w:val="3B9E4B87"/>
    <w:rsid w:val="3DCB5DFB"/>
    <w:rsid w:val="3F9625DF"/>
    <w:rsid w:val="3F9A025D"/>
    <w:rsid w:val="405B677D"/>
    <w:rsid w:val="40753743"/>
    <w:rsid w:val="408B2E20"/>
    <w:rsid w:val="41A87BD5"/>
    <w:rsid w:val="42063BBC"/>
    <w:rsid w:val="4323135E"/>
    <w:rsid w:val="44C916F4"/>
    <w:rsid w:val="45FB325E"/>
    <w:rsid w:val="465D7BD2"/>
    <w:rsid w:val="46BF3EB3"/>
    <w:rsid w:val="46F15331"/>
    <w:rsid w:val="47024C06"/>
    <w:rsid w:val="48004781"/>
    <w:rsid w:val="486D63E8"/>
    <w:rsid w:val="49381943"/>
    <w:rsid w:val="4A643EA4"/>
    <w:rsid w:val="4B157AF6"/>
    <w:rsid w:val="4BBC5193"/>
    <w:rsid w:val="4C431BE2"/>
    <w:rsid w:val="4CBC32F1"/>
    <w:rsid w:val="4E176701"/>
    <w:rsid w:val="4EDF4A03"/>
    <w:rsid w:val="4F3E7FC5"/>
    <w:rsid w:val="4F473CA0"/>
    <w:rsid w:val="500F481F"/>
    <w:rsid w:val="50280DA5"/>
    <w:rsid w:val="506F4FF1"/>
    <w:rsid w:val="50BC3F85"/>
    <w:rsid w:val="50F55610"/>
    <w:rsid w:val="51112148"/>
    <w:rsid w:val="528E5DCB"/>
    <w:rsid w:val="52E75951"/>
    <w:rsid w:val="53927489"/>
    <w:rsid w:val="53DD0BF6"/>
    <w:rsid w:val="544E2A6E"/>
    <w:rsid w:val="55165C9F"/>
    <w:rsid w:val="56440D1A"/>
    <w:rsid w:val="56F243CF"/>
    <w:rsid w:val="575C3E1C"/>
    <w:rsid w:val="579445B3"/>
    <w:rsid w:val="57CA61D5"/>
    <w:rsid w:val="58152E6A"/>
    <w:rsid w:val="58570A29"/>
    <w:rsid w:val="58D400A9"/>
    <w:rsid w:val="5962527D"/>
    <w:rsid w:val="5A490530"/>
    <w:rsid w:val="5ABD303C"/>
    <w:rsid w:val="5ABF66FF"/>
    <w:rsid w:val="5B0E7D9B"/>
    <w:rsid w:val="5B341F0C"/>
    <w:rsid w:val="5B7A2D98"/>
    <w:rsid w:val="5B9418A9"/>
    <w:rsid w:val="5B992F0E"/>
    <w:rsid w:val="5BAA5B6B"/>
    <w:rsid w:val="5BB86A7B"/>
    <w:rsid w:val="5BBA55DA"/>
    <w:rsid w:val="5BBC72AF"/>
    <w:rsid w:val="5CD939F6"/>
    <w:rsid w:val="5D2569AE"/>
    <w:rsid w:val="5E9207F7"/>
    <w:rsid w:val="5FDC074E"/>
    <w:rsid w:val="5FE866FE"/>
    <w:rsid w:val="5FFC4B7D"/>
    <w:rsid w:val="60204AD7"/>
    <w:rsid w:val="61E7692D"/>
    <w:rsid w:val="629E587A"/>
    <w:rsid w:val="62B9149D"/>
    <w:rsid w:val="63051C90"/>
    <w:rsid w:val="63F62240"/>
    <w:rsid w:val="63F7410E"/>
    <w:rsid w:val="63F8267F"/>
    <w:rsid w:val="641E0251"/>
    <w:rsid w:val="64647B4E"/>
    <w:rsid w:val="64DA4701"/>
    <w:rsid w:val="6517652D"/>
    <w:rsid w:val="651A2F6C"/>
    <w:rsid w:val="657D70FA"/>
    <w:rsid w:val="664D7EE1"/>
    <w:rsid w:val="66D20EB1"/>
    <w:rsid w:val="670E46A1"/>
    <w:rsid w:val="676D3B30"/>
    <w:rsid w:val="67B033BE"/>
    <w:rsid w:val="67B32CC0"/>
    <w:rsid w:val="67EF19C4"/>
    <w:rsid w:val="685E0B02"/>
    <w:rsid w:val="686754CC"/>
    <w:rsid w:val="68891C79"/>
    <w:rsid w:val="690C6728"/>
    <w:rsid w:val="69D34092"/>
    <w:rsid w:val="6AB63450"/>
    <w:rsid w:val="6B3F4C62"/>
    <w:rsid w:val="6B517FDB"/>
    <w:rsid w:val="6C0139E9"/>
    <w:rsid w:val="6D752DA1"/>
    <w:rsid w:val="6D9F0F79"/>
    <w:rsid w:val="6DF93AB7"/>
    <w:rsid w:val="6E3C4D68"/>
    <w:rsid w:val="6FAD74D8"/>
    <w:rsid w:val="6FFF51C7"/>
    <w:rsid w:val="70063367"/>
    <w:rsid w:val="70C11745"/>
    <w:rsid w:val="7129283A"/>
    <w:rsid w:val="71773064"/>
    <w:rsid w:val="71D63DB3"/>
    <w:rsid w:val="725320E2"/>
    <w:rsid w:val="72A37027"/>
    <w:rsid w:val="72B23142"/>
    <w:rsid w:val="7380460B"/>
    <w:rsid w:val="73C14FB6"/>
    <w:rsid w:val="73F37E80"/>
    <w:rsid w:val="769D6D8D"/>
    <w:rsid w:val="771E27AD"/>
    <w:rsid w:val="77B77E41"/>
    <w:rsid w:val="77C914BF"/>
    <w:rsid w:val="78052EC3"/>
    <w:rsid w:val="78072733"/>
    <w:rsid w:val="782E39BA"/>
    <w:rsid w:val="78862A40"/>
    <w:rsid w:val="79834EDD"/>
    <w:rsid w:val="79C22EF7"/>
    <w:rsid w:val="79D4536F"/>
    <w:rsid w:val="7A036593"/>
    <w:rsid w:val="7A861B4E"/>
    <w:rsid w:val="7C7B5F2A"/>
    <w:rsid w:val="7DB01C07"/>
    <w:rsid w:val="7DD175E2"/>
    <w:rsid w:val="7EED123E"/>
    <w:rsid w:val="7F5B61C2"/>
    <w:rsid w:val="7F845909"/>
    <w:rsid w:val="7FC91825"/>
    <w:rsid w:val="7FE84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imes New Roman"/>
      <w:kern w:val="2"/>
      <w:sz w:val="32"/>
      <w:szCs w:val="22"/>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b/>
      <w:bCs/>
      <w:kern w:val="44"/>
      <w:sz w:val="48"/>
      <w:szCs w:val="48"/>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Closing"/>
    <w:basedOn w:val="1"/>
    <w:link w:val="22"/>
    <w:qFormat/>
    <w:uiPriority w:val="0"/>
    <w:pPr>
      <w:ind w:left="2100" w:leftChars="2100"/>
    </w:pPr>
    <w:rPr>
      <w:rFonts w:ascii="Calibri" w:hAnsi="Calibri" w:eastAsia="宋体"/>
      <w:sz w:val="21"/>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7">
    <w:name w:val="toc 2"/>
    <w:basedOn w:val="1"/>
    <w:next w:val="1"/>
    <w:qFormat/>
    <w:uiPriority w:val="0"/>
    <w:pPr>
      <w:ind w:left="420" w:leftChars="200"/>
    </w:pPr>
    <w:rPr>
      <w:rFonts w:ascii="Times New Roman" w:hAnsi="Times New Roman" w:eastAsia="宋体"/>
    </w:rPr>
  </w:style>
  <w:style w:type="paragraph" w:styleId="8">
    <w:name w:val="Normal (Web)"/>
    <w:basedOn w:val="1"/>
    <w:qFormat/>
    <w:uiPriority w:val="0"/>
    <w:pPr>
      <w:spacing w:before="100" w:beforeAutospacing="1" w:after="100" w:afterAutospacing="1"/>
      <w:jc w:val="left"/>
    </w:pPr>
    <w:rPr>
      <w:rFonts w:ascii="Calibri" w:hAnsi="Calibri" w:eastAsia="宋体"/>
      <w:kern w:val="0"/>
      <w:sz w:val="24"/>
    </w:rPr>
  </w:style>
  <w:style w:type="character" w:styleId="11">
    <w:name w:val="Strong"/>
    <w:basedOn w:val="10"/>
    <w:qFormat/>
    <w:uiPriority w:val="0"/>
    <w:rPr>
      <w:b/>
      <w:bCs/>
    </w:rPr>
  </w:style>
  <w:style w:type="character" w:styleId="12">
    <w:name w:val="page number"/>
    <w:basedOn w:val="10"/>
    <w:qFormat/>
    <w:uiPriority w:val="0"/>
  </w:style>
  <w:style w:type="character" w:styleId="13">
    <w:name w:val="FollowedHyperlink"/>
    <w:basedOn w:val="10"/>
    <w:qFormat/>
    <w:uiPriority w:val="0"/>
    <w:rPr>
      <w:color w:val="338DE6"/>
      <w:u w:val="none"/>
    </w:rPr>
  </w:style>
  <w:style w:type="character" w:styleId="14">
    <w:name w:val="Emphasis"/>
    <w:basedOn w:val="10"/>
    <w:qFormat/>
    <w:uiPriority w:val="0"/>
  </w:style>
  <w:style w:type="character" w:styleId="15">
    <w:name w:val="HTML Definition"/>
    <w:basedOn w:val="10"/>
    <w:qFormat/>
    <w:uiPriority w:val="0"/>
  </w:style>
  <w:style w:type="character" w:styleId="16">
    <w:name w:val="HTML Variable"/>
    <w:basedOn w:val="10"/>
    <w:qFormat/>
    <w:uiPriority w:val="0"/>
  </w:style>
  <w:style w:type="character" w:styleId="17">
    <w:name w:val="Hyperlink"/>
    <w:basedOn w:val="10"/>
    <w:qFormat/>
    <w:uiPriority w:val="0"/>
    <w:rPr>
      <w:color w:val="338DE6"/>
      <w:u w:val="none"/>
    </w:rPr>
  </w:style>
  <w:style w:type="character" w:styleId="18">
    <w:name w:val="HTML Code"/>
    <w:basedOn w:val="10"/>
    <w:qFormat/>
    <w:uiPriority w:val="0"/>
    <w:rPr>
      <w:rFonts w:ascii="font-extend" w:hAnsi="font-extend" w:eastAsia="font-extend" w:cs="font-extend"/>
      <w:sz w:val="21"/>
      <w:szCs w:val="21"/>
    </w:rPr>
  </w:style>
  <w:style w:type="character" w:styleId="19">
    <w:name w:val="HTML Cite"/>
    <w:basedOn w:val="10"/>
    <w:qFormat/>
    <w:uiPriority w:val="0"/>
  </w:style>
  <w:style w:type="character" w:styleId="20">
    <w:name w:val="HTML Keyboard"/>
    <w:basedOn w:val="10"/>
    <w:qFormat/>
    <w:uiPriority w:val="0"/>
    <w:rPr>
      <w:rFonts w:hint="default" w:ascii="font-extend" w:hAnsi="font-extend" w:eastAsia="font-extend" w:cs="font-extend"/>
      <w:sz w:val="21"/>
      <w:szCs w:val="21"/>
    </w:rPr>
  </w:style>
  <w:style w:type="character" w:styleId="21">
    <w:name w:val="HTML Sample"/>
    <w:basedOn w:val="10"/>
    <w:qFormat/>
    <w:uiPriority w:val="0"/>
    <w:rPr>
      <w:rFonts w:hint="default" w:ascii="font-extend" w:hAnsi="font-extend" w:eastAsia="font-extend" w:cs="font-extend"/>
      <w:sz w:val="21"/>
      <w:szCs w:val="21"/>
    </w:rPr>
  </w:style>
  <w:style w:type="character" w:customStyle="1" w:styleId="22">
    <w:name w:val="结束语 Char"/>
    <w:basedOn w:val="10"/>
    <w:link w:val="3"/>
    <w:qFormat/>
    <w:uiPriority w:val="0"/>
    <w:rPr>
      <w:rFonts w:ascii="Calibri" w:hAnsi="Calibri" w:eastAsia="宋体"/>
      <w:kern w:val="2"/>
      <w:sz w:val="21"/>
      <w:szCs w:val="22"/>
      <w:lang w:val="en-US" w:eastAsia="zh-CN" w:bidi="ar-SA"/>
    </w:rPr>
  </w:style>
  <w:style w:type="paragraph" w:customStyle="1" w:styleId="23">
    <w:name w:val="Char"/>
    <w:basedOn w:val="1"/>
    <w:qFormat/>
    <w:uiPriority w:val="0"/>
    <w:pPr>
      <w:widowControl/>
      <w:spacing w:after="160" w:line="240" w:lineRule="exact"/>
      <w:jc w:val="left"/>
    </w:pPr>
  </w:style>
  <w:style w:type="paragraph" w:customStyle="1" w:styleId="24">
    <w:name w:val="纯文本1"/>
    <w:basedOn w:val="1"/>
    <w:qFormat/>
    <w:uiPriority w:val="0"/>
    <w:rPr>
      <w:rFonts w:hAnsi="Courier New" w:cs="Courier New"/>
      <w:szCs w:val="21"/>
    </w:rPr>
  </w:style>
  <w:style w:type="character" w:customStyle="1" w:styleId="25">
    <w:name w:val="nth-child(1)"/>
    <w:basedOn w:val="10"/>
    <w:qFormat/>
    <w:uiPriority w:val="0"/>
  </w:style>
  <w:style w:type="character" w:customStyle="1" w:styleId="26">
    <w:name w:val="nth-child(1)1"/>
    <w:basedOn w:val="10"/>
    <w:qFormat/>
    <w:uiPriority w:val="0"/>
  </w:style>
  <w:style w:type="character" w:customStyle="1" w:styleId="27">
    <w:name w:val="two-lines"/>
    <w:basedOn w:val="10"/>
    <w:qFormat/>
    <w:uiPriority w:val="0"/>
  </w:style>
  <w:style w:type="character" w:customStyle="1" w:styleId="28">
    <w:name w:val="hidden4"/>
    <w:basedOn w:val="10"/>
    <w:qFormat/>
    <w:uiPriority w:val="0"/>
    <w:rPr>
      <w:vanish/>
    </w:rPr>
  </w:style>
  <w:style w:type="character" w:customStyle="1" w:styleId="29">
    <w:name w:val="trumbowyg-msg-error"/>
    <w:basedOn w:val="10"/>
    <w:qFormat/>
    <w:uiPriority w:val="0"/>
    <w:rPr>
      <w:color w:val="E74C3C"/>
    </w:rPr>
  </w:style>
  <w:style w:type="character" w:customStyle="1" w:styleId="30">
    <w:name w:val="trumbowyg-msg-error1"/>
    <w:basedOn w:val="10"/>
    <w:qFormat/>
    <w:uiPriority w:val="0"/>
    <w:rPr>
      <w:color w:val="E74C3C"/>
    </w:rPr>
  </w:style>
  <w:style w:type="character" w:customStyle="1" w:styleId="31">
    <w:name w:val="one-lines"/>
    <w:basedOn w:val="10"/>
    <w:qFormat/>
    <w:uiPriority w:val="0"/>
  </w:style>
  <w:style w:type="paragraph" w:customStyle="1" w:styleId="32">
    <w:name w:val="Plain Text"/>
    <w:basedOn w:val="1"/>
    <w:qFormat/>
    <w:uiPriority w:val="0"/>
    <w:rPr>
      <w:rFonts w:ascii="仿宋_GB2312" w:hAnsi="Courier New" w:eastAsia="仿宋_GB2312" w:cs="Courier New"/>
      <w:sz w:val="32"/>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8</Pages>
  <Words>790</Words>
  <Characters>4503</Characters>
  <Lines>37</Lines>
  <Paragraphs>10</Paragraphs>
  <TotalTime>2</TotalTime>
  <ScaleCrop>false</ScaleCrop>
  <LinksUpToDate>false</LinksUpToDate>
  <CharactersWithSpaces>5283</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2023-08-21T07:02:00Z</dcterms:created>
  <dc:creator>lenovo</dc:creator>
  <cp:lastModifiedBy>Administrator</cp:lastModifiedBy>
  <cp:lastPrinted>2023-08-29T06:24:00Z</cp:lastPrinted>
  <dcterms:modified xsi:type="dcterms:W3CDTF">2023-09-27T05:02:01Z</dcterms:modified>
  <dc:title>终止行政复议审查决定书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E3379BFEEA074839B62B4658730FC8F8</vt:lpwstr>
  </property>
</Properties>
</file>