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209</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晏</w:t>
      </w:r>
      <w:r>
        <w:rPr>
          <w:rFonts w:hint="eastAsia" w:cs="仿宋_GB2312"/>
          <w:color w:val="auto"/>
          <w:szCs w:val="32"/>
          <w:highlight w:val="none"/>
          <w:lang w:val="en-US" w:eastAsia="zh-CN"/>
        </w:rPr>
        <w:t>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r>
        <w:rPr>
          <w:rFonts w:hint="eastAsia" w:cs="仿宋_GB2312"/>
          <w:b w:val="0"/>
          <w:bCs/>
          <w:color w:val="auto"/>
          <w:szCs w:val="32"/>
        </w:rPr>
        <w:t>法定代表人：</w:t>
      </w:r>
      <w:r>
        <w:rPr>
          <w:rFonts w:hint="eastAsia" w:cs="仿宋_GB2312"/>
          <w:b w:val="0"/>
          <w:bCs/>
          <w:color w:val="auto"/>
          <w:szCs w:val="32"/>
          <w:lang w:val="en-US" w:eastAsia="zh-CN"/>
        </w:rPr>
        <w:t>李玉泽</w:t>
      </w:r>
      <w:r>
        <w:rPr>
          <w:rFonts w:hint="eastAsia"/>
          <w:bCs/>
          <w:color w:val="auto"/>
          <w:szCs w:val="32"/>
        </w:rPr>
        <w:t>，该队大队长。</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eastAsia="zh-CN"/>
        </w:rPr>
        <w:t>晏</w:t>
      </w:r>
      <w:r>
        <w:rPr>
          <w:rFonts w:hint="eastAsia" w:cs="仿宋_GB2312"/>
          <w:color w:val="auto"/>
          <w:szCs w:val="32"/>
          <w:highlight w:val="none"/>
          <w:lang w:val="en-US" w:eastAsia="zh-CN"/>
        </w:rPr>
        <w:t>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27</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4406071933137835</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lang w:eastAsia="zh-CN"/>
        </w:rPr>
        <w:t>月</w:t>
      </w:r>
      <w:r>
        <w:rPr>
          <w:rFonts w:hint="eastAsia"/>
          <w:color w:val="auto"/>
          <w:szCs w:val="32"/>
          <w:highlight w:val="none"/>
          <w:lang w:val="en-US" w:eastAsia="zh-CN"/>
        </w:rPr>
        <w:t>27日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w:t>
      </w:r>
      <w:r>
        <w:rPr>
          <w:rFonts w:hint="eastAsia" w:cs="仿宋_GB2312"/>
          <w:color w:val="auto"/>
          <w:sz w:val="32"/>
          <w:szCs w:val="32"/>
          <w:highlight w:val="none"/>
          <w:lang w:eastAsia="zh-CN"/>
        </w:rPr>
        <w:t>本案</w:t>
      </w:r>
      <w:r>
        <w:rPr>
          <w:rFonts w:hint="eastAsia" w:hAnsi="Times New Roman"/>
          <w:color w:val="auto"/>
          <w:szCs w:val="32"/>
          <w:highlight w:val="none"/>
        </w:rPr>
        <w:t>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被前方车辆挡住无法行驶，所以借道安全行驶。</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w:t>
      </w:r>
      <w:r>
        <w:rPr>
          <w:rFonts w:hint="eastAsia" w:hAnsi="仿宋_GB2312" w:cs="仿宋_GB2312"/>
          <w:b/>
          <w:bCs/>
          <w:color w:val="auto"/>
          <w:szCs w:val="32"/>
          <w:lang w:val="en-US" w:eastAsia="zh-CN"/>
        </w:rPr>
        <w:t>复议</w:t>
      </w:r>
      <w:r>
        <w:rPr>
          <w:rFonts w:hint="eastAsia" w:hAnsi="仿宋_GB2312" w:cs="仿宋_GB2312"/>
          <w:b/>
          <w:bCs/>
          <w:color w:val="auto"/>
          <w:szCs w:val="32"/>
          <w:lang w:eastAsia="zh-CN"/>
        </w:rPr>
        <w:t>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cs="仿宋_GB2312"/>
          <w:b w:val="0"/>
          <w:bCs w:val="0"/>
          <w:color w:val="auto"/>
          <w:szCs w:val="32"/>
          <w:highlight w:val="none"/>
          <w:lang w:val="en-US" w:eastAsia="zh-CN"/>
        </w:rPr>
        <w:t>2023年3月30日15时33分,申请人驾驶号牌为***轻型多用途货车在佛山市三水区塘西大道与S381线（山前大道）路口路段,被固定式抓拍设备记录了驾驶机动车在高速公路、城市快速路以外的道路上逆向行驶的违法行为，违反了《中华人民共和国道路交通安全法》第三十五条，《广东省道路交通安全条例》第五十九条第一款第四项之规定。对该违章于2023年4月3日系统录入后，2023年7月27日被申请人向申请人开具了《处罚决定书》，告知其申请行政复议、诉讼的途径，并根据《中华人民共和国道路交通安全法》第一百一十四条、第九十条之规定，予以二百元罚款,记3分。申请人有在《处罚决定书》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1、根据2023年3月30日15时33分，位于佛山市三水区塘西大道与S381线（山前大道）路口路段的固定式抓拍设备提供的电子数据显示，该路口设置了导向车道，停止路线并有交通信号灯控制，***轻型多用途货车在该路口通行时，违反了驾驶机动车在高速公路、城市快速路以外的道路上逆向行驶的规定。根据《中华人民共和国道路交通安全法》第三十五条，《广东省道路交通安全条例》第五十九条第一款第四项之规定，***轻型多用途货车通过该路口时违反上述规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2、佛山市三水区塘西大道与S381线（山前大道）路口路段在路口上已经设置了信号灯、停止线、车道分隔线、导向指示箭头、导向车道线等设施，驾驶人驾驶车辆通过上述路口时应当按照所需的方向行驶。根据违法图片申请人驾驶号牌***轻型多用途货车已经是行驶到对向车道上，属于逆向行驶。通过视频监控观察到***轻型多用途货车通过该路口时跨越车道分隔线强行驶入对向车道行驶，在该路口中已经设置车道双黄实线，所以***轻型多用途货车违反驾驶机动车在高速公路、城市快速路以外的道路上逆向行驶的规定。同时，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2023年3月30日15时33分,申请人驾驶号牌为***轻型多用途货车在佛山市三水区塘西大道与S381线（山前大道）路口路段逆向行驶。申请人的上述行为被路口固定式抓拍设备记录。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000000"/>
          <w:szCs w:val="32"/>
        </w:rPr>
      </w:pPr>
      <w:r>
        <w:rPr>
          <w:rFonts w:hint="eastAsia" w:cs="仿宋_GB2312"/>
          <w:b w:val="0"/>
          <w:bCs w:val="0"/>
          <w:color w:val="auto"/>
          <w:szCs w:val="32"/>
          <w:highlight w:val="none"/>
          <w:lang w:val="en-US" w:eastAsia="zh-CN"/>
        </w:rPr>
        <w:t>被申请人将上述违法信息审核后于2023年4月3日录入道路交通违法信息管理系统。2023年7月27日被申请人对申请人适用简易程序作出罚款二百元的行政处罚。申请人有在《处罚决定书》</w:t>
      </w:r>
      <w:r>
        <w:rPr>
          <w:rFonts w:hint="eastAsia" w:cs="仿宋_GB2312"/>
          <w:color w:val="000000"/>
          <w:szCs w:val="32"/>
          <w:lang w:val="en-US" w:eastAsia="zh-CN"/>
        </w:rPr>
        <w:t>上</w:t>
      </w:r>
      <w:r>
        <w:rPr>
          <w:rFonts w:hint="eastAsia" w:cs="仿宋_GB2312"/>
          <w:color w:val="000000"/>
          <w:szCs w:val="32"/>
        </w:rPr>
        <w:t>签名。申请人不服处罚决定，于</w:t>
      </w:r>
      <w:r>
        <w:rPr>
          <w:rFonts w:hint="eastAsia" w:cs="仿宋_GB2312"/>
          <w:color w:val="000000"/>
          <w:szCs w:val="32"/>
          <w:lang w:val="en-US" w:eastAsia="zh-CN"/>
        </w:rPr>
        <w:t>2023年7月27日</w:t>
      </w:r>
      <w:r>
        <w:rPr>
          <w:rFonts w:hint="eastAsia" w:cs="仿宋_GB2312"/>
          <w:color w:val="000000"/>
          <w:szCs w:val="32"/>
        </w:rPr>
        <w:t>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olor w:val="auto"/>
          <w:sz w:val="32"/>
          <w:szCs w:val="32"/>
          <w:lang w:eastAsia="zh-CN"/>
        </w:rPr>
        <w:t>***轻型多用途货车</w:t>
      </w:r>
      <w:r>
        <w:rPr>
          <w:rFonts w:hint="eastAsia" w:cs="仿宋_GB2312"/>
          <w:color w:val="auto"/>
          <w:szCs w:val="32"/>
        </w:rPr>
        <w:t>的违法图片》</w:t>
      </w:r>
      <w:r>
        <w:rPr>
          <w:rFonts w:hint="eastAsia" w:cs="仿宋_GB2312"/>
          <w:color w:val="auto"/>
          <w:szCs w:val="32"/>
          <w:lang w:eastAsia="zh-CN"/>
        </w:rPr>
        <w:t>、</w:t>
      </w:r>
      <w:r>
        <w:rPr>
          <w:rFonts w:hint="eastAsia" w:cs="仿宋_GB2312"/>
          <w:color w:val="000000"/>
          <w:szCs w:val="32"/>
        </w:rPr>
        <w:t>录入系统平台截图照片、</w:t>
      </w:r>
      <w:r>
        <w:rPr>
          <w:rFonts w:hint="eastAsia" w:cs="仿宋_GB2312"/>
          <w:color w:val="000000"/>
          <w:szCs w:val="32"/>
          <w:lang w:eastAsia="zh-CN"/>
        </w:rPr>
        <w:t>《</w:t>
      </w:r>
      <w:r>
        <w:rPr>
          <w:rFonts w:hint="eastAsia" w:cs="仿宋_GB2312"/>
          <w:color w:val="000000"/>
          <w:szCs w:val="32"/>
          <w:lang w:val="en-US" w:eastAsia="zh-CN"/>
        </w:rPr>
        <w:t>处罚决定书</w:t>
      </w:r>
      <w:r>
        <w:rPr>
          <w:rFonts w:hint="eastAsia" w:cs="仿宋_GB2312"/>
          <w:color w:val="000000"/>
          <w:szCs w:val="32"/>
          <w:lang w:eastAsia="zh-CN"/>
        </w:rPr>
        <w:t>》</w:t>
      </w:r>
      <w:r>
        <w:rPr>
          <w:rFonts w:hint="eastAsia" w:cs="仿宋_GB2312"/>
          <w:color w:val="000000"/>
          <w:szCs w:val="32"/>
        </w:rPr>
        <w:t>等证据证明。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广东省道路交通安全条例</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》第</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"https://www.pkulaw.com/pfnl/javascript:SLC(17681021,59)"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五十九条</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第</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"https://www.pkulaw.com/pfnl/javascript:SLC(17681021,59,1)"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一款</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第</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"https://www.pkulaw.com/pfnl/javascript:SLC(17681021,59,1,4)"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（四）项</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规定：“驾驶机动车有下列行为之一的，责令改正，处警告或者二百元罚款:（四）逆向行驶，或者下陡坡时熄火、空挡滑行的</w:t>
      </w:r>
      <w:r>
        <w:rPr>
          <w:rFonts w:hint="eastAsia"/>
          <w:color w:val="auto"/>
          <w:sz w:val="32"/>
          <w:szCs w:val="32"/>
          <w:lang w:val="en-US" w:eastAsia="zh-CN"/>
        </w:rPr>
        <w:t>。</w:t>
      </w:r>
      <w:r>
        <w:rPr>
          <w:rFonts w:hint="eastAsia" w:ascii="仿宋_GB2312"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b w:val="0"/>
          <w:bCs w:val="0"/>
          <w:color w:val="auto"/>
          <w:szCs w:val="32"/>
          <w:highlight w:val="none"/>
          <w:lang w:val="en-US" w:eastAsia="zh-CN"/>
        </w:rPr>
      </w:pPr>
      <w:r>
        <w:rPr>
          <w:rFonts w:hint="eastAsia"/>
          <w:color w:val="auto"/>
          <w:sz w:val="32"/>
          <w:szCs w:val="32"/>
          <w:lang w:val="en-US" w:eastAsia="zh-CN"/>
        </w:rPr>
        <w:t>根据固定式抓拍设备提供的电子数据，</w:t>
      </w:r>
      <w:r>
        <w:rPr>
          <w:rFonts w:hint="eastAsia" w:ascii="仿宋_GB2312" w:eastAsia="仿宋_GB2312"/>
          <w:color w:val="auto"/>
          <w:sz w:val="32"/>
          <w:szCs w:val="32"/>
          <w:lang w:val="en-US" w:eastAsia="zh-CN"/>
        </w:rPr>
        <w:t>被申请人对</w:t>
      </w:r>
      <w:r>
        <w:rPr>
          <w:rFonts w:hint="eastAsia"/>
          <w:color w:val="auto"/>
          <w:sz w:val="32"/>
          <w:szCs w:val="32"/>
          <w:lang w:eastAsia="zh-CN"/>
        </w:rPr>
        <w:t>***轻型多用途货车</w:t>
      </w:r>
      <w:r>
        <w:rPr>
          <w:rFonts w:hint="eastAsia" w:ascii="仿宋_GB2312" w:eastAsia="仿宋_GB2312"/>
          <w:color w:val="auto"/>
          <w:sz w:val="32"/>
          <w:szCs w:val="32"/>
          <w:lang w:val="en-US" w:eastAsia="zh-CN"/>
        </w:rPr>
        <w:t>逆向行驶违法行为的时间</w:t>
      </w:r>
      <w:r>
        <w:rPr>
          <w:rFonts w:hint="eastAsia" w:hAnsi="宋体"/>
          <w:szCs w:val="32"/>
        </w:rPr>
        <w:t>、地点和事实认定清楚，定性准确；</w:t>
      </w:r>
      <w:r>
        <w:rPr>
          <w:rFonts w:hint="eastAsia" w:hAnsi="宋体"/>
          <w:szCs w:val="32"/>
          <w:lang w:val="en-US" w:eastAsia="zh-CN"/>
        </w:rPr>
        <w:t>被申请人</w:t>
      </w:r>
      <w:r>
        <w:rPr>
          <w:rFonts w:hint="eastAsia" w:hAnsi="宋体"/>
          <w:szCs w:val="32"/>
        </w:rPr>
        <w:t>依据《中华人民共和国道路交通安全法》第九十条、第一百一十四条和《广东省道路交通安全条例》第五十</w:t>
      </w:r>
      <w:r>
        <w:rPr>
          <w:rFonts w:hint="eastAsia" w:hAnsi="宋体"/>
          <w:szCs w:val="32"/>
          <w:lang w:val="en-US" w:eastAsia="zh-CN"/>
        </w:rPr>
        <w:t>九</w:t>
      </w:r>
      <w:r>
        <w:rPr>
          <w:rFonts w:hint="eastAsia" w:hAnsi="宋体"/>
          <w:szCs w:val="32"/>
        </w:rPr>
        <w:t>条第一款</w:t>
      </w:r>
      <w:r>
        <w:rPr>
          <w:rFonts w:hint="eastAsia" w:ascii="仿宋_GB2312" w:eastAsia="仿宋_GB2312"/>
          <w:color w:val="auto"/>
          <w:sz w:val="32"/>
          <w:szCs w:val="32"/>
          <w:lang w:val="en-US" w:eastAsia="zh-CN"/>
        </w:rPr>
        <w:t>第</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"https://www.pkulaw.com/pfnl/javascript:SLC(17681021,59,1,4)"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（四）项</w:t>
      </w:r>
      <w:r>
        <w:rPr>
          <w:rFonts w:hint="eastAsia" w:ascii="仿宋_GB2312" w:eastAsia="仿宋_GB2312"/>
          <w:color w:val="auto"/>
          <w:sz w:val="32"/>
          <w:szCs w:val="32"/>
          <w:lang w:val="en-US" w:eastAsia="zh-CN"/>
        </w:rPr>
        <w:fldChar w:fldCharType="end"/>
      </w:r>
      <w:r>
        <w:rPr>
          <w:rFonts w:hint="eastAsia"/>
          <w:color w:val="auto"/>
          <w:sz w:val="32"/>
          <w:szCs w:val="32"/>
          <w:lang w:val="en-US" w:eastAsia="zh-CN"/>
        </w:rPr>
        <w:t>之</w:t>
      </w:r>
      <w:r>
        <w:rPr>
          <w:rFonts w:hint="eastAsia" w:hAnsi="宋体"/>
          <w:szCs w:val="32"/>
        </w:rPr>
        <w:t>规定对申请人作出罚款</w:t>
      </w:r>
      <w:r>
        <w:rPr>
          <w:rFonts w:hint="eastAsia" w:hAnsi="宋体"/>
          <w:szCs w:val="32"/>
          <w:lang w:val="en-US" w:eastAsia="zh-CN"/>
        </w:rPr>
        <w:t>二</w:t>
      </w:r>
      <w:r>
        <w:rPr>
          <w:rFonts w:hint="eastAsia" w:hAnsi="宋体"/>
          <w:szCs w:val="32"/>
        </w:rPr>
        <w:t>百元的行政处罚决定</w:t>
      </w:r>
      <w:r>
        <w:rPr>
          <w:rFonts w:hint="eastAsia" w:hAnsi="宋体"/>
          <w:szCs w:val="32"/>
          <w:lang w:eastAsia="zh-CN"/>
        </w:rPr>
        <w:t>，</w:t>
      </w:r>
      <w:r>
        <w:rPr>
          <w:rFonts w:hint="eastAsia" w:hAnsi="宋体"/>
          <w:szCs w:val="32"/>
        </w:rPr>
        <w:t>适用法律准确。</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 w:val="32"/>
          <w:szCs w:val="32"/>
          <w:lang w:val="en-US" w:eastAsia="zh-CN"/>
        </w:rPr>
        <w:t>关于申请人所述</w:t>
      </w:r>
      <w:r>
        <w:rPr>
          <w:rFonts w:hint="eastAsia" w:cs="仿宋_GB2312"/>
          <w:b w:val="0"/>
          <w:bCs w:val="0"/>
          <w:color w:val="auto"/>
          <w:szCs w:val="32"/>
          <w:highlight w:val="none"/>
          <w:lang w:val="en-US" w:eastAsia="zh-CN"/>
        </w:rPr>
        <w:t>被前方车辆挡住无法行驶，所以借道安全行驶的</w:t>
      </w:r>
      <w:r>
        <w:rPr>
          <w:rFonts w:hint="eastAsia" w:cs="仿宋_GB2312"/>
          <w:b w:val="0"/>
          <w:bCs w:val="0"/>
          <w:color w:val="auto"/>
          <w:sz w:val="32"/>
          <w:szCs w:val="32"/>
          <w:lang w:val="en-US" w:eastAsia="zh-CN"/>
        </w:rPr>
        <w:t>复议理由，</w:t>
      </w:r>
      <w:r>
        <w:rPr>
          <w:rFonts w:hint="eastAsia" w:cs="仿宋_GB2312"/>
          <w:b w:val="0"/>
          <w:bCs w:val="0"/>
          <w:color w:val="auto"/>
          <w:szCs w:val="32"/>
          <w:highlight w:val="none"/>
          <w:lang w:val="en-US" w:eastAsia="zh-CN"/>
        </w:rPr>
        <w:t>通过视频监控、</w:t>
      </w:r>
      <w:r>
        <w:rPr>
          <w:rFonts w:hint="eastAsia" w:cs="仿宋_GB2312"/>
          <w:color w:val="auto"/>
          <w:szCs w:val="32"/>
        </w:rPr>
        <w:t>现场图片</w:t>
      </w:r>
      <w:r>
        <w:rPr>
          <w:rFonts w:hint="eastAsia" w:cs="仿宋_GB2312"/>
          <w:b w:val="0"/>
          <w:bCs w:val="0"/>
          <w:color w:val="auto"/>
          <w:szCs w:val="32"/>
          <w:highlight w:val="none"/>
          <w:lang w:val="en-US" w:eastAsia="zh-CN"/>
        </w:rPr>
        <w:t>可以清晰反映***轻型多用途货车在通过该路口时跨越车道分隔线强行驶入对向车道行驶造成逆向行驶</w:t>
      </w:r>
      <w:r>
        <w:rPr>
          <w:rFonts w:hint="eastAsia" w:hAnsi="Courier New" w:cs="仿宋_GB2312"/>
          <w:color w:val="auto"/>
          <w:sz w:val="32"/>
          <w:szCs w:val="32"/>
          <w:lang w:eastAsia="zh-CN"/>
        </w:rPr>
        <w:t>，</w:t>
      </w:r>
      <w:r>
        <w:rPr>
          <w:rFonts w:hint="eastAsia" w:hAnsi="Courier New" w:cs="仿宋_GB2312"/>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27</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4406071933137835</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ascii="仿宋_GB2312" w:hAnsi="仿宋_GB2312" w:eastAsia="仿宋_GB2312" w:cs="仿宋_GB2312"/>
          <w:color w:val="auto"/>
          <w:sz w:val="32"/>
          <w:szCs w:val="32"/>
          <w:highlight w:val="none"/>
        </w:rPr>
        <w:t>如不服本行政复议决定，可以在收到本《行政复议决定书》之日起15日内，以</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与本府为共同被告向佛山市顺德区人民法院提起诉讼。</w:t>
      </w:r>
      <w:bookmarkEnd w:id="0"/>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w:t>
      </w:r>
      <w:r>
        <w:rPr>
          <w:rFonts w:hint="eastAsia" w:cs="仿宋_GB2312"/>
          <w:color w:val="auto"/>
          <w:szCs w:val="32"/>
          <w:highlight w:val="none"/>
          <w:lang w:val="en-US" w:eastAsia="zh-CN"/>
        </w:rPr>
        <w:t xml:space="preserve"> </w:t>
      </w:r>
      <w:r>
        <w:rPr>
          <w:rFonts w:hint="eastAsia" w:cs="仿宋_GB2312"/>
          <w:color w:val="auto"/>
          <w:szCs w:val="32"/>
          <w:highlight w:val="none"/>
        </w:rPr>
        <w:t>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w:t>
      </w:r>
      <w:r>
        <w:rPr>
          <w:rFonts w:hint="eastAsia" w:cs="仿宋_GB2312"/>
          <w:color w:val="auto"/>
          <w:szCs w:val="32"/>
          <w:highlight w:val="none"/>
          <w:lang w:val="en-US" w:eastAsia="zh-CN"/>
        </w:rPr>
        <w:t xml:space="preserve">      </w:t>
      </w:r>
      <w:r>
        <w:rPr>
          <w:rFonts w:hint="eastAsia" w:cs="仿宋_GB2312"/>
          <w:color w:val="auto"/>
          <w:szCs w:val="32"/>
          <w:highlight w:val="none"/>
        </w:rPr>
        <w:t>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8</w:t>
      </w:r>
      <w:r>
        <w:rPr>
          <w:rFonts w:hint="eastAsia" w:cs="仿宋_GB2312"/>
          <w:color w:val="auto"/>
          <w:szCs w:val="32"/>
          <w:highlight w:val="none"/>
        </w:rPr>
        <w:t>月</w:t>
      </w:r>
      <w:r>
        <w:rPr>
          <w:rFonts w:hint="eastAsia" w:cs="仿宋_GB2312"/>
          <w:color w:val="auto"/>
          <w:szCs w:val="32"/>
          <w:highlight w:val="none"/>
          <w:lang w:val="en-US" w:eastAsia="zh-CN"/>
        </w:rPr>
        <w:t>15日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bookmarkStart w:id="1" w:name="_GoBack"/>
      <w:bookmarkEnd w:id="1"/>
      <w:r>
        <w:rPr>
          <w:color w:val="auto"/>
          <w:sz w:val="28"/>
        </w:rPr>
        <mc:AlternateContent>
          <mc:Choice Requires="wpg">
            <w:drawing>
              <wp:anchor distT="0" distB="0" distL="114300" distR="114300" simplePos="0" relativeHeight="251660288" behindDoc="0" locked="0" layoutInCell="1" allowOverlap="1">
                <wp:simplePos x="0" y="0"/>
                <wp:positionH relativeFrom="column">
                  <wp:posOffset>77470</wp:posOffset>
                </wp:positionH>
                <wp:positionV relativeFrom="paragraph">
                  <wp:posOffset>4836795</wp:posOffset>
                </wp:positionV>
                <wp:extent cx="5580380" cy="438150"/>
                <wp:effectExtent l="0" t="0" r="12700" b="3810"/>
                <wp:wrapNone/>
                <wp:docPr id="20"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18" name="组合 9"/>
                        <wpg:cNvGrpSpPr/>
                        <wpg:grpSpPr>
                          <a:xfrm>
                            <a:off x="7501" y="117498"/>
                            <a:ext cx="8788" cy="591"/>
                            <a:chOff x="7319" y="65111"/>
                            <a:chExt cx="8788" cy="591"/>
                          </a:xfrm>
                        </wpg:grpSpPr>
                        <wps:wsp>
                          <wps:cNvPr id="16"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17"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19"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6.1pt;margin-top:380.85pt;height:34.5pt;width:439.4pt;z-index:251660288;mso-width-relative:page;mso-height-relative:page;" coordorigin="7501,117445" coordsize="8788,690" o:gfxdata="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BRsJtfZAAAACgEAAA8A&#10;AAAAAAAAAQAgAAAAIgAAAGRycy9kb3ducmV2LnhtbFBLAQIUABQAAAAIAIdO4kDz5LVeMwMAAPQJ&#10;AAAOAAAAAAAAAAEAIAAAACgBAABkcnMvZTJvRG9jLnhtbFBLBQYAAAAABgAGAFkBAADNBgAAAAA=&#10;">
                <o:lock v:ext="edit" aspectratio="f"/>
                <v:group id="组合 9" o:spid="_x0000_s1026" o:spt="203" style="position:absolute;left:7501;top:117498;height:591;width:8788;" coordorigin="7319,65111" coordsize="8788,591"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m2Azp70AAADb&#10;AAAADwAAAGRycy9kb3ducmV2LnhtbEVPTWsCMRC9F/wPYQQvpSZKKboaPSiCYotUS+tx2Iy7i5vJ&#10;som76q83hUJv83ifM51fbSkaqn3hWMOgr0AQp84UnGn4OqxeRiB8QDZYOiYNN/Iwn3WeppgY1/In&#10;NfuQiRjCPkENeQhVIqVPc7Lo+64ijtzJ1RZDhHUmTY1tDLelHCr1Ji0WHBtyrGiRU3reX6yG5kO9&#10;fr+nP7fL82p53Ix2S79t71r3ugM1ARHoGv7Ff+61ifPH8PtLPE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YDOnvQAA&#10;ANsAAAAPAAAAAAAAAAEAIAAAACIAAABkcnMvZG93bnJldi54bWxQSwECFAAUAAAACACHTuJAMy8F&#10;njsAAAA5AAAAEAAAAAAAAAABACAAAAAMAQAAZHJzL3NoYXBleG1sLnhtbFBLBQYAAAAABgAGAFsB&#10;AAC2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26"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矩形 1"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rc0jl0gAAAAMBAAAPAAAAAAAAAAEAIAAAACIAAABkcnMvZG93bnJldi54&#10;bWxQSwECFAAUAAAACACHTuJAxDaef8cBAACZAwAADgAAAAAAAAABACAAAAAhAQAAZHJzL2Uyb0Rv&#10;Yy54bWxQSwUGAAAAAAYABgBZAQAAWg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02717"/>
    <w:rsid w:val="11FA76C0"/>
    <w:rsid w:val="12A8431A"/>
    <w:rsid w:val="1CD01FF8"/>
    <w:rsid w:val="1F142C89"/>
    <w:rsid w:val="207E624B"/>
    <w:rsid w:val="213D6E16"/>
    <w:rsid w:val="3AAA11CD"/>
    <w:rsid w:val="441E180D"/>
    <w:rsid w:val="4BE87A96"/>
    <w:rsid w:val="52D54B5F"/>
    <w:rsid w:val="5BDE48E6"/>
    <w:rsid w:val="63D66158"/>
    <w:rsid w:val="646961D9"/>
    <w:rsid w:val="68FB638D"/>
    <w:rsid w:val="78F80E84"/>
    <w:rsid w:val="7AC61946"/>
    <w:rsid w:val="7B8217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cp:lastPrinted>2023-08-14T01:47:00Z</cp:lastPrinted>
  <dcterms:modified xsi:type="dcterms:W3CDTF">2023-09-22T07:04:31Z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6DF416056BB343A0AEBAD8893D7EE57B</vt:lpwstr>
  </property>
</Properties>
</file>