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210</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eastAsia="zh-CN"/>
        </w:rPr>
        <w:t>李</w:t>
      </w:r>
      <w:r>
        <w:rPr>
          <w:rFonts w:hint="eastAsia" w:cs="仿宋_GB2312"/>
          <w:color w:val="auto"/>
          <w:szCs w:val="32"/>
          <w:highlight w:val="none"/>
          <w:lang w:val="en-US" w:eastAsia="zh-CN"/>
        </w:rPr>
        <w:t>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r>
        <w:rPr>
          <w:rFonts w:hint="eastAsia" w:cs="仿宋_GB2312"/>
          <w:b w:val="0"/>
          <w:bCs/>
          <w:color w:val="auto"/>
          <w:szCs w:val="32"/>
        </w:rPr>
        <w:t>法定代表人：</w:t>
      </w:r>
      <w:r>
        <w:rPr>
          <w:rFonts w:hint="eastAsia" w:cs="仿宋_GB2312"/>
          <w:b w:val="0"/>
          <w:bCs/>
          <w:color w:val="auto"/>
          <w:szCs w:val="32"/>
          <w:lang w:val="en-US" w:eastAsia="zh-CN"/>
        </w:rPr>
        <w:t>李玉泽</w:t>
      </w:r>
      <w:r>
        <w:rPr>
          <w:rFonts w:hint="eastAsia"/>
          <w:bCs/>
          <w:color w:val="auto"/>
          <w:szCs w:val="32"/>
        </w:rPr>
        <w:t>，该队大队长。</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eastAsia="zh-CN"/>
        </w:rPr>
        <w:t>李</w:t>
      </w:r>
      <w:r>
        <w:rPr>
          <w:rFonts w:hint="eastAsia" w:cs="仿宋_GB2312"/>
          <w:color w:val="auto"/>
          <w:szCs w:val="32"/>
          <w:highlight w:val="none"/>
          <w:lang w:val="en-US" w:eastAsia="zh-CN"/>
        </w:rPr>
        <w:t>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rPr>
        <w:t>月</w:t>
      </w:r>
      <w:r>
        <w:rPr>
          <w:rFonts w:hint="eastAsia"/>
          <w:color w:val="auto"/>
          <w:szCs w:val="32"/>
          <w:highlight w:val="none"/>
          <w:lang w:val="en-US" w:eastAsia="zh-CN"/>
        </w:rPr>
        <w:t>26</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4406071933137644</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lang w:eastAsia="zh-CN"/>
        </w:rPr>
        <w:t>月</w:t>
      </w:r>
      <w:r>
        <w:rPr>
          <w:rFonts w:hint="eastAsia"/>
          <w:color w:val="auto"/>
          <w:szCs w:val="32"/>
          <w:highlight w:val="none"/>
          <w:lang w:val="en-US" w:eastAsia="zh-CN"/>
        </w:rPr>
        <w:t>27日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w:t>
      </w:r>
      <w:r>
        <w:rPr>
          <w:rFonts w:hint="eastAsia" w:cs="仿宋_GB2312"/>
          <w:color w:val="auto"/>
          <w:sz w:val="32"/>
          <w:szCs w:val="32"/>
          <w:highlight w:val="none"/>
          <w:lang w:eastAsia="zh-CN"/>
        </w:rPr>
        <w:t>本案</w:t>
      </w:r>
      <w:r>
        <w:rPr>
          <w:rFonts w:hint="eastAsia" w:hAnsi="Times New Roman"/>
          <w:color w:val="auto"/>
          <w:szCs w:val="32"/>
          <w:highlight w:val="none"/>
        </w:rPr>
        <w:t>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当时在下暴雨，看不清路边和地下的单向行驶标志，亦不清楚这条道路被定为单行道。</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w:t>
      </w:r>
      <w:r>
        <w:rPr>
          <w:rFonts w:hint="eastAsia" w:hAnsi="仿宋_GB2312" w:cs="仿宋_GB2312"/>
          <w:b/>
          <w:bCs/>
          <w:color w:val="auto"/>
          <w:szCs w:val="32"/>
          <w:lang w:val="en-US" w:eastAsia="zh-CN"/>
        </w:rPr>
        <w:t>复议</w:t>
      </w:r>
      <w:r>
        <w:rPr>
          <w:rFonts w:hint="eastAsia" w:hAnsi="仿宋_GB2312" w:cs="仿宋_GB2312"/>
          <w:b/>
          <w:bCs/>
          <w:color w:val="auto"/>
          <w:szCs w:val="32"/>
          <w:lang w:eastAsia="zh-CN"/>
        </w:rPr>
        <w:t>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cs="仿宋_GB2312"/>
          <w:b w:val="0"/>
          <w:bCs w:val="0"/>
          <w:color w:val="auto"/>
          <w:szCs w:val="32"/>
          <w:highlight w:val="none"/>
          <w:lang w:val="en-US" w:eastAsia="zh-CN"/>
        </w:rPr>
        <w:t>2023年7月18日11时34分,申请人驾驶号牌为***小型普通客车在佛山市三水区西南街道育才路西南第四中学对开路段逆向行驶，违反了《中华人民共和国道路交通安全法》第三十五条，《广东省道路交通安全条例》第五十九条第一款第（四）项之规定。对该违章于2023年7月20日系统录入后，2023年7月26日被申请人向申请人开具了《处罚决定书》，告知其申请行政复议、诉讼的途径，并根据《中华人民共和国道路交通安全法》第一百一十四条、第九十条之规定，予以二百元罚款,记3分。申请人有在《处罚决定书》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1、根据2023年7月18日11时34分，位于佛山市三水区西南街道育才路西南第四中学对开路段的固定式抓拍设备提供的电子数据显示，***小型普通客车从佛山市三水区西南街道育才路西南第四中学对开路段由南往北方向行驶时，违反了《中华人民共和国道路交通安全法》第三十五条，《广东省道路交通安全条例》第五十九条第一款第（四）项之规定，构成逆向行驶的交通违法行为。根据《道路交通安全违法行为处理程序规定》第十六条第二款之规定，佛山市公安局三水分局交通警察大队已于2021年10月20日，在媒体将上述路段向社会发布公告该路段实施单向行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2、经核实，在广海大道与育才路交叉路口已经设置了禁止驶入的标志牌，地面也设置了行驶箭头，在该路段内都设置了标志牌。申请人表述下雨看不清楚，但该路段上每一个路口已经设置了相关的交通标志，又通过媒体向社会告知其育才路实施单行的通知。同时，申请人申请撤销的事由不符合《道路交通安全违法行为处理程序规定》第二十二条规定的予以撤销的情形，于法律无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2023年7月18日11时34分,申请人驾驶号牌为***小型普通客车在佛山市三水区西南街道育才路西南第四中学对开路段逆向行驶。申请人的上述行为被路口固定式抓拍设备记录。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rPr>
          <w:rFonts w:hint="eastAsia" w:cs="仿宋_GB2312"/>
          <w:color w:val="000000"/>
          <w:szCs w:val="32"/>
        </w:rPr>
      </w:pPr>
      <w:r>
        <w:rPr>
          <w:rFonts w:hint="eastAsia" w:cs="仿宋_GB2312"/>
          <w:b w:val="0"/>
          <w:bCs w:val="0"/>
          <w:color w:val="auto"/>
          <w:szCs w:val="32"/>
          <w:highlight w:val="none"/>
          <w:lang w:val="en-US" w:eastAsia="zh-CN"/>
        </w:rPr>
        <w:t>被申请人将上述违法信息审核后于2023年7月20日录入道路交通违法信息管理系统。2023年7月26日被申请人对申请人运用简易程序作出罚款二百元的行政处罚。申请人有在《处罚决定书》</w:t>
      </w:r>
      <w:r>
        <w:rPr>
          <w:rFonts w:hint="eastAsia" w:cs="仿宋_GB2312"/>
          <w:color w:val="000000"/>
          <w:szCs w:val="32"/>
          <w:lang w:val="en-US" w:eastAsia="zh-CN"/>
        </w:rPr>
        <w:t>上</w:t>
      </w:r>
      <w:r>
        <w:rPr>
          <w:rFonts w:hint="eastAsia" w:cs="仿宋_GB2312"/>
          <w:color w:val="000000"/>
          <w:szCs w:val="32"/>
        </w:rPr>
        <w:t>签名。申请人不服处罚决定，于</w:t>
      </w:r>
      <w:r>
        <w:rPr>
          <w:rFonts w:hint="eastAsia" w:cs="仿宋_GB2312"/>
          <w:color w:val="000000"/>
          <w:szCs w:val="32"/>
          <w:lang w:val="en-US" w:eastAsia="zh-CN"/>
        </w:rPr>
        <w:t>2023年7月27日</w:t>
      </w:r>
      <w:r>
        <w:rPr>
          <w:rFonts w:hint="eastAsia" w:cs="仿宋_GB2312"/>
          <w:color w:val="000000"/>
          <w:szCs w:val="32"/>
        </w:rPr>
        <w:t>向本府申请行政复议。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000000"/>
          <w:szCs w:val="32"/>
        </w:rPr>
      </w:pPr>
      <w:r>
        <w:rPr>
          <w:rFonts w:hint="eastAsia" w:cs="仿宋_GB2312"/>
          <w:b w:val="0"/>
          <w:bCs w:val="0"/>
          <w:color w:val="auto"/>
          <w:szCs w:val="32"/>
          <w:highlight w:val="none"/>
          <w:lang w:val="en-US" w:eastAsia="zh-CN"/>
        </w:rPr>
        <w:t>另查明，被申请人已于2021年10月20日在媒体将案涉路段向社会公告实施单向行驶。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olor w:val="auto"/>
          <w:sz w:val="32"/>
          <w:szCs w:val="32"/>
          <w:lang w:eastAsia="zh-CN"/>
        </w:rPr>
        <w:t>***小型普通客车</w:t>
      </w:r>
      <w:r>
        <w:rPr>
          <w:rFonts w:hint="eastAsia" w:cs="仿宋_GB2312"/>
          <w:color w:val="auto"/>
          <w:szCs w:val="32"/>
        </w:rPr>
        <w:t>的违法图片》</w:t>
      </w:r>
      <w:r>
        <w:rPr>
          <w:rFonts w:hint="eastAsia" w:cs="仿宋_GB2312"/>
          <w:color w:val="auto"/>
          <w:szCs w:val="32"/>
          <w:lang w:eastAsia="zh-CN"/>
        </w:rPr>
        <w:t>、</w:t>
      </w:r>
      <w:r>
        <w:rPr>
          <w:rFonts w:hint="eastAsia" w:cs="仿宋_GB2312"/>
          <w:color w:val="000000"/>
          <w:szCs w:val="32"/>
        </w:rPr>
        <w:t>录入系统平台截图照片</w:t>
      </w:r>
      <w:r>
        <w:rPr>
          <w:rFonts w:hint="eastAsia" w:cs="仿宋_GB2312"/>
          <w:color w:val="000000"/>
          <w:szCs w:val="32"/>
          <w:lang w:eastAsia="zh-CN"/>
        </w:rPr>
        <w:t>、公告</w:t>
      </w:r>
      <w:r>
        <w:rPr>
          <w:rFonts w:hint="eastAsia" w:cs="仿宋_GB2312"/>
          <w:color w:val="000000"/>
          <w:szCs w:val="32"/>
        </w:rPr>
        <w:t>、</w:t>
      </w:r>
      <w:r>
        <w:rPr>
          <w:rFonts w:hint="eastAsia" w:cs="仿宋_GB2312"/>
          <w:color w:val="000000"/>
          <w:szCs w:val="32"/>
          <w:lang w:eastAsia="zh-CN"/>
        </w:rPr>
        <w:t>《</w:t>
      </w:r>
      <w:r>
        <w:rPr>
          <w:rFonts w:hint="eastAsia" w:cs="仿宋_GB2312"/>
          <w:color w:val="000000"/>
          <w:szCs w:val="32"/>
          <w:lang w:val="en-US" w:eastAsia="zh-CN"/>
        </w:rPr>
        <w:t>行政处罚决定书</w:t>
      </w:r>
      <w:r>
        <w:rPr>
          <w:rFonts w:hint="eastAsia" w:cs="仿宋_GB2312"/>
          <w:color w:val="000000"/>
          <w:szCs w:val="32"/>
          <w:lang w:eastAsia="zh-CN"/>
        </w:rPr>
        <w:t>》</w:t>
      </w:r>
      <w:r>
        <w:rPr>
          <w:rFonts w:hint="eastAsia" w:cs="仿宋_GB2312"/>
          <w:color w:val="000000"/>
          <w:szCs w:val="32"/>
        </w:rPr>
        <w:t>等证据证明。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HYPERLINK "https://www.pkulaw.com/pfnl/javascript:SLC(17681021)"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val="en-US" w:eastAsia="zh-CN"/>
        </w:rPr>
        <w:t>广东省道路交通安全条例</w:t>
      </w:r>
      <w:r>
        <w:rPr>
          <w:rFonts w:hint="eastAsia" w:ascii="仿宋_GB2312" w:eastAsia="仿宋_GB2312"/>
          <w:color w:val="auto"/>
          <w:sz w:val="32"/>
          <w:szCs w:val="32"/>
          <w:lang w:val="en-US" w:eastAsia="zh-CN"/>
        </w:rPr>
        <w:fldChar w:fldCharType="end"/>
      </w:r>
      <w:r>
        <w:rPr>
          <w:rFonts w:hint="eastAsia" w:ascii="仿宋_GB2312" w:eastAsia="仿宋_GB2312"/>
          <w:color w:val="auto"/>
          <w:sz w:val="32"/>
          <w:szCs w:val="32"/>
          <w:lang w:val="en-US" w:eastAsia="zh-CN"/>
        </w:rPr>
        <w:t>》第</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HYPERLINK "https://www.pkulaw.com/pfnl/javascript:SLC(17681021,59)"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val="en-US" w:eastAsia="zh-CN"/>
        </w:rPr>
        <w:t>五十九条</w:t>
      </w:r>
      <w:r>
        <w:rPr>
          <w:rFonts w:hint="eastAsia" w:ascii="仿宋_GB2312" w:eastAsia="仿宋_GB2312"/>
          <w:color w:val="auto"/>
          <w:sz w:val="32"/>
          <w:szCs w:val="32"/>
          <w:lang w:val="en-US" w:eastAsia="zh-CN"/>
        </w:rPr>
        <w:fldChar w:fldCharType="end"/>
      </w:r>
      <w:r>
        <w:rPr>
          <w:rFonts w:hint="eastAsia" w:ascii="仿宋_GB2312" w:eastAsia="仿宋_GB2312"/>
          <w:color w:val="auto"/>
          <w:sz w:val="32"/>
          <w:szCs w:val="32"/>
          <w:lang w:val="en-US" w:eastAsia="zh-CN"/>
        </w:rPr>
        <w:t>第</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HYPERLINK "https://www.pkulaw.com/pfnl/javascript:SLC(17681021,59,1)"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val="en-US" w:eastAsia="zh-CN"/>
        </w:rPr>
        <w:t>一款</w:t>
      </w:r>
      <w:r>
        <w:rPr>
          <w:rFonts w:hint="eastAsia" w:ascii="仿宋_GB2312" w:eastAsia="仿宋_GB2312"/>
          <w:color w:val="auto"/>
          <w:sz w:val="32"/>
          <w:szCs w:val="32"/>
          <w:lang w:val="en-US" w:eastAsia="zh-CN"/>
        </w:rPr>
        <w:fldChar w:fldCharType="end"/>
      </w:r>
      <w:r>
        <w:rPr>
          <w:rFonts w:hint="eastAsia" w:ascii="仿宋_GB2312" w:eastAsia="仿宋_GB2312"/>
          <w:color w:val="auto"/>
          <w:sz w:val="32"/>
          <w:szCs w:val="32"/>
          <w:lang w:val="en-US" w:eastAsia="zh-CN"/>
        </w:rPr>
        <w:t>第</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HYPERLINK "https://www.pkulaw.com/pfnl/javascript:SLC(17681021,59,1,4)"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val="en-US" w:eastAsia="zh-CN"/>
        </w:rPr>
        <w:t>（四）项</w:t>
      </w:r>
      <w:r>
        <w:rPr>
          <w:rFonts w:hint="eastAsia" w:ascii="仿宋_GB2312" w:eastAsia="仿宋_GB2312"/>
          <w:color w:val="auto"/>
          <w:sz w:val="32"/>
          <w:szCs w:val="32"/>
          <w:lang w:val="en-US" w:eastAsia="zh-CN"/>
        </w:rPr>
        <w:fldChar w:fldCharType="end"/>
      </w:r>
      <w:r>
        <w:rPr>
          <w:rFonts w:hint="eastAsia" w:ascii="仿宋_GB2312" w:eastAsia="仿宋_GB2312"/>
          <w:color w:val="auto"/>
          <w:sz w:val="32"/>
          <w:szCs w:val="32"/>
          <w:lang w:val="en-US" w:eastAsia="zh-CN"/>
        </w:rPr>
        <w:t>规定：“驾驶机动车有下列行为之一的，责令改正，处警告或者二百元罚款:（四）逆向行驶，或者下陡坡时熄火、空挡滑行的</w:t>
      </w:r>
      <w:r>
        <w:rPr>
          <w:rFonts w:hint="eastAsia"/>
          <w:color w:val="auto"/>
          <w:sz w:val="32"/>
          <w:szCs w:val="32"/>
          <w:lang w:val="en-US" w:eastAsia="zh-CN"/>
        </w:rPr>
        <w:t>。</w:t>
      </w:r>
      <w:r>
        <w:rPr>
          <w:rFonts w:hint="eastAsia" w:ascii="仿宋_GB2312" w:eastAsia="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cs="仿宋_GB2312"/>
          <w:b w:val="0"/>
          <w:bCs w:val="0"/>
          <w:color w:val="auto"/>
          <w:szCs w:val="32"/>
          <w:highlight w:val="none"/>
          <w:lang w:val="en-US" w:eastAsia="zh-CN"/>
        </w:rPr>
      </w:pPr>
      <w:r>
        <w:rPr>
          <w:rFonts w:hint="eastAsia"/>
          <w:color w:val="auto"/>
          <w:sz w:val="32"/>
          <w:szCs w:val="32"/>
          <w:lang w:val="en-US" w:eastAsia="zh-CN"/>
        </w:rPr>
        <w:t>根据固定式抓拍设备提供的电子数据，</w:t>
      </w:r>
      <w:r>
        <w:rPr>
          <w:rFonts w:hint="eastAsia" w:ascii="仿宋_GB2312" w:eastAsia="仿宋_GB2312"/>
          <w:color w:val="auto"/>
          <w:sz w:val="32"/>
          <w:szCs w:val="32"/>
          <w:lang w:val="en-US" w:eastAsia="zh-CN"/>
        </w:rPr>
        <w:t>被申请人对</w:t>
      </w:r>
      <w:r>
        <w:rPr>
          <w:rFonts w:hint="eastAsia"/>
          <w:color w:val="auto"/>
          <w:sz w:val="32"/>
          <w:szCs w:val="32"/>
          <w:lang w:val="en-US" w:eastAsia="zh-CN"/>
        </w:rPr>
        <w:t>申请人驾驶</w:t>
      </w:r>
      <w:r>
        <w:rPr>
          <w:rFonts w:hint="eastAsia"/>
          <w:color w:val="auto"/>
          <w:sz w:val="32"/>
          <w:szCs w:val="32"/>
          <w:lang w:eastAsia="zh-CN"/>
        </w:rPr>
        <w:t>***小型普通客车</w:t>
      </w:r>
      <w:r>
        <w:rPr>
          <w:rFonts w:hint="eastAsia" w:cs="仿宋_GB2312"/>
          <w:b w:val="0"/>
          <w:bCs w:val="0"/>
          <w:color w:val="auto"/>
          <w:szCs w:val="32"/>
          <w:highlight w:val="none"/>
          <w:lang w:val="en-US" w:eastAsia="zh-CN"/>
        </w:rPr>
        <w:t>在佛山市三水区西南街道育才路西南第四中学对开路段</w:t>
      </w:r>
      <w:r>
        <w:rPr>
          <w:rFonts w:hint="eastAsia" w:ascii="仿宋_GB2312" w:eastAsia="仿宋_GB2312"/>
          <w:color w:val="auto"/>
          <w:sz w:val="32"/>
          <w:szCs w:val="32"/>
          <w:lang w:val="en-US" w:eastAsia="zh-CN"/>
        </w:rPr>
        <w:t>逆向行驶违法行为的时间</w:t>
      </w:r>
      <w:r>
        <w:rPr>
          <w:rFonts w:hint="eastAsia" w:hAnsi="宋体"/>
          <w:szCs w:val="32"/>
        </w:rPr>
        <w:t>、地点和事实认定清楚，定性准确；</w:t>
      </w:r>
      <w:r>
        <w:rPr>
          <w:rFonts w:hint="eastAsia" w:hAnsi="宋体"/>
          <w:szCs w:val="32"/>
          <w:lang w:val="en-US" w:eastAsia="zh-CN"/>
        </w:rPr>
        <w:t>被申请人</w:t>
      </w:r>
      <w:r>
        <w:rPr>
          <w:rFonts w:hint="eastAsia" w:hAnsi="宋体"/>
          <w:szCs w:val="32"/>
        </w:rPr>
        <w:t>依据《中华人民共和国道路交通安全法》第九十条、第一百一十四条和《广东省道路交通安全条例》第五十</w:t>
      </w:r>
      <w:r>
        <w:rPr>
          <w:rFonts w:hint="eastAsia" w:hAnsi="宋体"/>
          <w:szCs w:val="32"/>
          <w:lang w:val="en-US" w:eastAsia="zh-CN"/>
        </w:rPr>
        <w:t>九</w:t>
      </w:r>
      <w:r>
        <w:rPr>
          <w:rFonts w:hint="eastAsia" w:hAnsi="宋体"/>
          <w:szCs w:val="32"/>
        </w:rPr>
        <w:t>条第一款</w:t>
      </w:r>
      <w:r>
        <w:rPr>
          <w:rFonts w:hint="eastAsia" w:ascii="仿宋_GB2312" w:eastAsia="仿宋_GB2312"/>
          <w:color w:val="auto"/>
          <w:sz w:val="32"/>
          <w:szCs w:val="32"/>
          <w:lang w:val="en-US" w:eastAsia="zh-CN"/>
        </w:rPr>
        <w:t>第</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HYPERLINK "https://www.pkulaw.com/pfnl/javascript:SLC(17681021,59,1,4)" </w:instrText>
      </w:r>
      <w:r>
        <w:rPr>
          <w:rFonts w:hint="eastAsia" w:ascii="仿宋_GB2312" w:eastAsia="仿宋_GB2312"/>
          <w:color w:val="auto"/>
          <w:sz w:val="32"/>
          <w:szCs w:val="32"/>
          <w:lang w:val="en-US" w:eastAsia="zh-CN"/>
        </w:rPr>
        <w:fldChar w:fldCharType="separate"/>
      </w:r>
      <w:r>
        <w:rPr>
          <w:rFonts w:hint="eastAsia" w:ascii="仿宋_GB2312" w:eastAsia="仿宋_GB2312"/>
          <w:color w:val="auto"/>
          <w:sz w:val="32"/>
          <w:szCs w:val="32"/>
          <w:lang w:val="en-US" w:eastAsia="zh-CN"/>
        </w:rPr>
        <w:t>（四）项</w:t>
      </w:r>
      <w:r>
        <w:rPr>
          <w:rFonts w:hint="eastAsia" w:ascii="仿宋_GB2312" w:eastAsia="仿宋_GB2312"/>
          <w:color w:val="auto"/>
          <w:sz w:val="32"/>
          <w:szCs w:val="32"/>
          <w:lang w:val="en-US" w:eastAsia="zh-CN"/>
        </w:rPr>
        <w:fldChar w:fldCharType="end"/>
      </w:r>
      <w:r>
        <w:rPr>
          <w:rFonts w:hint="eastAsia"/>
          <w:color w:val="auto"/>
          <w:sz w:val="32"/>
          <w:szCs w:val="32"/>
          <w:lang w:val="en-US" w:eastAsia="zh-CN"/>
        </w:rPr>
        <w:t>之</w:t>
      </w:r>
      <w:r>
        <w:rPr>
          <w:rFonts w:hint="eastAsia" w:hAnsi="宋体"/>
          <w:szCs w:val="32"/>
        </w:rPr>
        <w:t>规定对申请人作出罚款</w:t>
      </w:r>
      <w:r>
        <w:rPr>
          <w:rFonts w:hint="eastAsia" w:hAnsi="宋体"/>
          <w:szCs w:val="32"/>
          <w:lang w:val="en-US" w:eastAsia="zh-CN"/>
        </w:rPr>
        <w:t>二</w:t>
      </w:r>
      <w:r>
        <w:rPr>
          <w:rFonts w:hint="eastAsia" w:hAnsi="宋体"/>
          <w:szCs w:val="32"/>
        </w:rPr>
        <w:t>百元的行政处罚决定</w:t>
      </w:r>
      <w:r>
        <w:rPr>
          <w:rFonts w:hint="eastAsia" w:hAnsi="宋体"/>
          <w:szCs w:val="32"/>
          <w:lang w:eastAsia="zh-CN"/>
        </w:rPr>
        <w:t>，</w:t>
      </w:r>
      <w:r>
        <w:rPr>
          <w:rFonts w:hint="eastAsia" w:hAnsi="宋体"/>
          <w:szCs w:val="32"/>
        </w:rPr>
        <w:t>适用法律准确。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 w:val="32"/>
          <w:szCs w:val="32"/>
          <w:lang w:val="en-US" w:eastAsia="zh-CN"/>
        </w:rPr>
        <w:t>关于申请人提出的复议理由，</w:t>
      </w:r>
      <w:r>
        <w:rPr>
          <w:rFonts w:hint="eastAsia" w:cs="仿宋_GB2312"/>
          <w:b w:val="0"/>
          <w:bCs w:val="0"/>
          <w:color w:val="auto"/>
          <w:szCs w:val="32"/>
          <w:highlight w:val="none"/>
          <w:lang w:val="en-US" w:eastAsia="zh-CN"/>
        </w:rPr>
        <w:t>经核实，在广海大道与育才路交叉路口已经设置了禁止驶入的标志牌，地面也设置了行驶箭头，在该路段内都设置了标志牌。该路段上每一个路口已经设置了相关的交通标志，又通过媒体向社会告知育才路实施单行的通知。同时，申请人申请撤销的事由不符合《道路交通安全违法行为处理程序规定》第二十二条规定的予以撤销的情形。</w:t>
      </w:r>
      <w:r>
        <w:rPr>
          <w:rFonts w:hint="eastAsia" w:hAnsi="宋体"/>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rPr>
        <w:t>月</w:t>
      </w:r>
      <w:r>
        <w:rPr>
          <w:rFonts w:hint="eastAsia"/>
          <w:color w:val="auto"/>
          <w:szCs w:val="32"/>
          <w:highlight w:val="none"/>
          <w:lang w:val="en-US" w:eastAsia="zh-CN"/>
        </w:rPr>
        <w:t>26</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4406071933137644</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pPr>
      <w:r>
        <w:rPr>
          <w:color w:val="auto"/>
          <w:sz w:val="28"/>
        </w:rPr>
        <mc:AlternateContent>
          <mc:Choice Requires="wpg">
            <w:drawing>
              <wp:anchor distT="0" distB="0" distL="114300" distR="114300" simplePos="0" relativeHeight="251660288" behindDoc="0" locked="0" layoutInCell="1" allowOverlap="1">
                <wp:simplePos x="0" y="0"/>
                <wp:positionH relativeFrom="column">
                  <wp:posOffset>57150</wp:posOffset>
                </wp:positionH>
                <wp:positionV relativeFrom="paragraph">
                  <wp:posOffset>4518660</wp:posOffset>
                </wp:positionV>
                <wp:extent cx="5580380" cy="438150"/>
                <wp:effectExtent l="0" t="0" r="12700" b="3810"/>
                <wp:wrapNone/>
                <wp:docPr id="20"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18" name="组合 9"/>
                        <wpg:cNvGrpSpPr/>
                        <wpg:grpSpPr>
                          <a:xfrm>
                            <a:off x="7501" y="117498"/>
                            <a:ext cx="8788" cy="591"/>
                            <a:chOff x="7319" y="65111"/>
                            <a:chExt cx="8788" cy="591"/>
                          </a:xfrm>
                        </wpg:grpSpPr>
                        <wps:wsp>
                          <wps:cNvPr id="16"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17"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19"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5pt;margin-top:355.8pt;height:34.5pt;width:439.4pt;z-index:251660288;mso-width-relative:page;mso-height-relative:page;" coordorigin="7501,117445" coordsize="8788,690" o:gfxdata="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Dy4LsjZAAAACQEAAA8A&#10;AAAAAAAAAQAgAAAAIgAAAGRycy9kb3ducmV2LnhtbFBLAQIUABQAAAAIAIdO4kDz5LVeMwMAAPQJ&#10;AAAOAAAAAAAAAAEAIAAAACgBAABkcnMvZTJvRG9jLnhtbFBLBQYAAAAABgAGAFkBAADNBgAAAAA=&#10;">
                <o:lock v:ext="edit" aspectratio="f"/>
                <v:group id="组合 9" o:spid="_x0000_s1026" o:spt="203" style="position:absolute;left:7501;top:117498;height:591;width:8788;" coordorigin="7319,65111" coordsize="8788,591"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9pfTbbkAAADb&#10;AAAADwAAAGRycy9kb3ducmV2LnhtbEVPTYvCMBC9L/gfwgh7WxMVZK1GEVFZEITV6nlsxrbYTEoT&#10;q/57s7DgbR7vc6bzh61ES40vHWvo9xQI4syZknMN6WH99Q3CB2SDlWPS8CQP81nnY4qJcXf+pXYf&#10;chFD2CeooQihTqT0WUEWfc/VxJG7uMZiiLDJpWnwHsNtJQdKjaTFkmNDgTUtC8qu+5vVsDhtV8Nd&#10;e7auMuM8PRqbqs1A689uX01ABHqEt/jf/WPi/BH8/RIPkL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X022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mdt29roAAADb&#10;AAAADwAAAGRycy9kb3ducmV2LnhtbEVP32vCMBB+F/wfwgm+zUSFOatRRFQGA2FafT6bsy02l9LE&#10;6v77ZTDw7T6+nzdfPm0lWmp86VjDcKBAEGfOlJxrSI/btw8QPiAbrByThh/ysFx0O3NMjHvwN7WH&#10;kIsYwj5BDUUIdSKlzwqy6AeuJo7c1TUWQ4RNLk2DjxhuKzlS6l1aLDk2FFjTuqDsdrhbDavz12a8&#10;by/WVWaapydjU7Ubad3vDdUMRKBneIn/3Z8mzp/A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23b2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YDOnvQAA&#10;ANsAAAAPAAAAAAAAAAEAIAAAACIAAABkcnMvZG93bnJldi54bWxQSwECFAAUAAAACACHTuJAMy8F&#10;njsAAAA5AAAAEAAAAAAAAAABACAAAAAMAQAAZHJzL3NoYXBleG1sLnhtbFBLBQYAAAAABgAGAFsB&#10;AAC2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r>
        <w:rPr>
          <w:rFonts w:hint="eastAsia" w:cs="仿宋_GB2312"/>
          <w:color w:val="auto"/>
          <w:szCs w:val="32"/>
          <w:highlight w:val="none"/>
        </w:rPr>
        <w:t xml:space="preserve">                                20</w:t>
      </w:r>
      <w:bookmarkStart w:id="1" w:name="_GoBack"/>
      <w:bookmarkEnd w:id="1"/>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8</w:t>
      </w:r>
      <w:r>
        <w:rPr>
          <w:rFonts w:hint="eastAsia" w:cs="仿宋_GB2312"/>
          <w:color w:val="auto"/>
          <w:szCs w:val="32"/>
          <w:highlight w:val="none"/>
        </w:rPr>
        <w:t>月</w:t>
      </w:r>
      <w:r>
        <w:rPr>
          <w:rFonts w:hint="eastAsia" w:cs="仿宋_GB2312"/>
          <w:color w:val="auto"/>
          <w:szCs w:val="32"/>
          <w:highlight w:val="none"/>
          <w:lang w:val="en-US" w:eastAsia="zh-CN"/>
        </w:rPr>
        <w:t>22日</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26"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矩形 1"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rc0jl0gAAAAMBAAAPAAAAAAAAAAEAIAAAACIAAABkcnMvZG93bnJldi54&#10;bWxQSwECFAAUAAAACACHTuJAxDaef8cBAACZAwAADgAAAAAAAAABACAAAAAhAQAAZHJzL2Uyb0Rv&#10;Yy54bWxQSwUGAAAAAAYABgBZAQAAWg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57D8"/>
    <w:rsid w:val="0A67379F"/>
    <w:rsid w:val="0D8920C3"/>
    <w:rsid w:val="1492597D"/>
    <w:rsid w:val="19281CD4"/>
    <w:rsid w:val="1C6D58E8"/>
    <w:rsid w:val="1E0C431D"/>
    <w:rsid w:val="2224030E"/>
    <w:rsid w:val="26520F98"/>
    <w:rsid w:val="2CFF0EB3"/>
    <w:rsid w:val="2DBF33C9"/>
    <w:rsid w:val="33DE5A31"/>
    <w:rsid w:val="399C2315"/>
    <w:rsid w:val="3F8A2891"/>
    <w:rsid w:val="44474F3A"/>
    <w:rsid w:val="4C012C8E"/>
    <w:rsid w:val="505E78FC"/>
    <w:rsid w:val="55C828D4"/>
    <w:rsid w:val="5689452A"/>
    <w:rsid w:val="57482BC2"/>
    <w:rsid w:val="5DD451FE"/>
    <w:rsid w:val="63481743"/>
    <w:rsid w:val="63B34E56"/>
    <w:rsid w:val="66664942"/>
    <w:rsid w:val="6AC25DB6"/>
    <w:rsid w:val="6BA6312B"/>
    <w:rsid w:val="6C3366F4"/>
    <w:rsid w:val="700E3D55"/>
    <w:rsid w:val="720B1226"/>
    <w:rsid w:val="74A73D85"/>
    <w:rsid w:val="783712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E52</dc:creator>
  <cp:lastModifiedBy>Administrator</cp:lastModifiedBy>
  <dcterms:modified xsi:type="dcterms:W3CDTF">2023-09-22T07:06:08Z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41057E90E2904462B189AD14688818C4</vt:lpwstr>
  </property>
</Properties>
</file>