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highlight w:val="none"/>
          <w:lang w:val="en-US" w:eastAsia="zh-CN"/>
        </w:rPr>
      </w:pPr>
      <w:bookmarkStart w:id="1" w:name="_GoBack"/>
      <w:bookmarkEnd w:id="1"/>
      <w:r>
        <w:rPr>
          <w:rFonts w:hint="eastAsia" w:ascii="方正小标宋简体" w:hAnsi="方正小标宋简体" w:eastAsia="方正小标宋简体" w:cs="方正小标宋简体"/>
          <w:b w:val="0"/>
          <w:bCs w:val="0"/>
          <w:sz w:val="44"/>
          <w:szCs w:val="44"/>
          <w:highlight w:val="none"/>
          <w:lang w:val="en-US" w:eastAsia="zh-CN"/>
        </w:rPr>
        <w:t>佛 山 市 三 水 区 人 民 政 府</w:t>
      </w:r>
    </w:p>
    <w:p>
      <w:pPr>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val="0"/>
          <w:bCs w:val="0"/>
          <w:sz w:val="44"/>
          <w:szCs w:val="44"/>
          <w:highlight w:val="none"/>
          <w:lang w:val="en-US" w:eastAsia="zh-CN"/>
        </w:rPr>
        <w:t>行政复议决定书</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right"/>
        <w:textAlignment w:val="auto"/>
        <w:outlineLvl w:val="9"/>
        <w:rPr>
          <w:rFonts w:hint="eastAsia" w:cs="仿宋_GB2312"/>
          <w:color w:val="auto"/>
          <w:szCs w:val="32"/>
          <w:highlight w:val="none"/>
        </w:rPr>
      </w:pPr>
      <w:r>
        <w:rPr>
          <w:rFonts w:hint="eastAsia" w:cs="仿宋_GB2312"/>
          <w:color w:val="auto"/>
          <w:szCs w:val="32"/>
          <w:highlight w:val="none"/>
        </w:rPr>
        <w:t>三府行复〔20</w:t>
      </w:r>
      <w:r>
        <w:rPr>
          <w:rFonts w:hint="eastAsia" w:cs="仿宋_GB2312"/>
          <w:color w:val="auto"/>
          <w:szCs w:val="32"/>
          <w:highlight w:val="none"/>
          <w:lang w:val="en-US" w:eastAsia="zh-CN"/>
        </w:rPr>
        <w:t>23</w:t>
      </w:r>
      <w:r>
        <w:rPr>
          <w:rFonts w:hint="eastAsia" w:cs="仿宋_GB2312"/>
          <w:color w:val="auto"/>
          <w:szCs w:val="32"/>
          <w:highlight w:val="none"/>
        </w:rPr>
        <w:t>〕</w:t>
      </w:r>
      <w:r>
        <w:rPr>
          <w:rFonts w:hint="eastAsia" w:cs="仿宋_GB2312"/>
          <w:color w:val="auto"/>
          <w:szCs w:val="32"/>
          <w:highlight w:val="none"/>
          <w:lang w:val="en-US" w:eastAsia="zh-CN"/>
        </w:rPr>
        <w:t>306</w:t>
      </w:r>
      <w:r>
        <w:rPr>
          <w:rFonts w:hint="eastAsia" w:cs="仿宋_GB2312"/>
          <w:color w:val="auto"/>
          <w:szCs w:val="32"/>
          <w:highlight w:val="none"/>
        </w:rPr>
        <w:t>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color w:val="auto"/>
          <w:szCs w:val="32"/>
          <w:highlight w:val="none"/>
          <w:lang w:val="en-US" w:eastAsia="zh-CN"/>
        </w:rPr>
      </w:pPr>
      <w:r>
        <w:rPr>
          <w:rFonts w:hint="eastAsia" w:cs="仿宋_GB2312"/>
          <w:b/>
          <w:bCs/>
          <w:color w:val="auto"/>
          <w:szCs w:val="32"/>
          <w:highlight w:val="none"/>
        </w:rPr>
        <w:t>申请人</w:t>
      </w:r>
      <w:r>
        <w:rPr>
          <w:rFonts w:hint="eastAsia" w:cs="仿宋_GB2312"/>
          <w:color w:val="auto"/>
          <w:szCs w:val="32"/>
          <w:highlight w:val="none"/>
        </w:rPr>
        <w:t>：</w:t>
      </w:r>
      <w:r>
        <w:rPr>
          <w:rFonts w:hint="eastAsia" w:cs="仿宋_GB2312"/>
          <w:color w:val="auto"/>
          <w:szCs w:val="32"/>
          <w:highlight w:val="none"/>
          <w:lang w:eastAsia="zh-CN"/>
        </w:rPr>
        <w:t>杜某</w:t>
      </w:r>
      <w:r>
        <w:rPr>
          <w:rFonts w:hint="eastAsia" w:cs="仿宋_GB2312"/>
          <w:color w:val="auto"/>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olor w:val="auto"/>
          <w:szCs w:val="32"/>
        </w:rPr>
      </w:pPr>
      <w:r>
        <w:rPr>
          <w:rFonts w:hint="eastAsia" w:cs="仿宋_GB2312"/>
          <w:b/>
          <w:bCs/>
          <w:color w:val="auto"/>
          <w:szCs w:val="32"/>
        </w:rPr>
        <w:t>被申请人：</w:t>
      </w:r>
      <w:r>
        <w:rPr>
          <w:rFonts w:hint="eastAsia"/>
          <w:color w:val="auto"/>
          <w:szCs w:val="32"/>
        </w:rPr>
        <w:t>佛山市公安局三水分局交通警察大队。</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楷体_GB2312" w:eastAsia="楷体_GB2312"/>
          <w:bCs/>
          <w:color w:val="auto"/>
          <w:szCs w:val="32"/>
        </w:rPr>
      </w:pPr>
      <w:r>
        <w:rPr>
          <w:rFonts w:hint="eastAsia"/>
          <w:color w:val="auto"/>
          <w:szCs w:val="32"/>
        </w:rPr>
        <w:t xml:space="preserve">    </w:t>
      </w:r>
      <w:r>
        <w:rPr>
          <w:rFonts w:hint="eastAsia"/>
          <w:b w:val="0"/>
          <w:bCs/>
          <w:color w:val="auto"/>
          <w:szCs w:val="32"/>
        </w:rPr>
        <w:t>住所：</w:t>
      </w:r>
      <w:r>
        <w:rPr>
          <w:rFonts w:hint="eastAsia"/>
          <w:b w:val="0"/>
          <w:bCs/>
          <w:color w:val="auto"/>
          <w:szCs w:val="32"/>
          <w:lang w:val="en-US" w:eastAsia="zh-CN"/>
        </w:rPr>
        <w:t>广东省</w:t>
      </w:r>
      <w:r>
        <w:rPr>
          <w:rFonts w:hint="eastAsia"/>
          <w:bCs/>
          <w:color w:val="auto"/>
          <w:szCs w:val="32"/>
        </w:rPr>
        <w:t>佛山市三水区西南街道贤和路6号。</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bCs/>
          <w:color w:val="auto"/>
          <w:szCs w:val="32"/>
        </w:rPr>
      </w:pPr>
      <w:r>
        <w:rPr>
          <w:rFonts w:hint="eastAsia" w:cs="仿宋_GB2312"/>
          <w:b w:val="0"/>
          <w:bCs/>
          <w:color w:val="auto"/>
          <w:szCs w:val="32"/>
        </w:rPr>
        <w:t>法定代表人：</w:t>
      </w:r>
      <w:r>
        <w:rPr>
          <w:rFonts w:hint="eastAsia" w:cs="仿宋_GB2312"/>
          <w:b w:val="0"/>
          <w:bCs/>
          <w:color w:val="auto"/>
          <w:szCs w:val="32"/>
          <w:lang w:val="en-US" w:eastAsia="zh-CN"/>
        </w:rPr>
        <w:t>李玉泽，大队长</w:t>
      </w:r>
      <w:r>
        <w:rPr>
          <w:rFonts w:hint="eastAsia"/>
          <w:bCs/>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val="0"/>
          <w:bCs w:val="0"/>
          <w:color w:val="auto"/>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rPr>
      </w:pPr>
      <w:r>
        <w:rPr>
          <w:rFonts w:hint="eastAsia" w:hAnsi="Times New Roman"/>
          <w:color w:val="auto"/>
          <w:szCs w:val="32"/>
          <w:highlight w:val="none"/>
        </w:rPr>
        <w:t>申请人因不服被</w:t>
      </w:r>
      <w:r>
        <w:rPr>
          <w:rFonts w:hint="eastAsia" w:ascii="仿宋_GB2312" w:hAnsi="仿宋_GB2312" w:eastAsia="仿宋_GB2312" w:cs="仿宋_GB2312"/>
          <w:color w:val="auto"/>
          <w:sz w:val="32"/>
          <w:szCs w:val="32"/>
          <w:highlight w:val="none"/>
        </w:rPr>
        <w:t>申请人于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10</w:t>
      </w:r>
      <w:r>
        <w:rPr>
          <w:rFonts w:hint="eastAsia"/>
          <w:color w:val="auto"/>
          <w:szCs w:val="32"/>
          <w:highlight w:val="none"/>
        </w:rPr>
        <w:t>月</w:t>
      </w:r>
      <w:r>
        <w:rPr>
          <w:rFonts w:hint="eastAsia"/>
          <w:color w:val="auto"/>
          <w:szCs w:val="32"/>
          <w:highlight w:val="none"/>
          <w:lang w:val="en-US" w:eastAsia="zh-CN"/>
        </w:rPr>
        <w:t>8</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4406071933275186</w:t>
      </w:r>
      <w:r>
        <w:rPr>
          <w:rFonts w:hint="eastAsia" w:cs="仿宋_GB2312"/>
          <w:color w:val="auto"/>
          <w:sz w:val="32"/>
          <w:szCs w:val="32"/>
          <w:highlight w:val="none"/>
          <w:lang w:val="en-US" w:eastAsia="zh-CN"/>
        </w:rPr>
        <w:t>，以下简称《处罚决定书》</w:t>
      </w:r>
      <w:r>
        <w:rPr>
          <w:rFonts w:hint="eastAsia" w:ascii="仿宋_GB2312" w:hAnsi="仿宋_GB2312" w:eastAsia="仿宋_GB2312" w:cs="仿宋_GB2312"/>
          <w:color w:val="auto"/>
          <w:sz w:val="32"/>
          <w:szCs w:val="32"/>
          <w:highlight w:val="none"/>
        </w:rPr>
        <w:t>），于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10</w:t>
      </w:r>
      <w:r>
        <w:rPr>
          <w:rFonts w:hint="eastAsia"/>
          <w:color w:val="auto"/>
          <w:szCs w:val="32"/>
          <w:highlight w:val="none"/>
          <w:lang w:eastAsia="zh-CN"/>
        </w:rPr>
        <w:t>月</w:t>
      </w:r>
      <w:r>
        <w:rPr>
          <w:rFonts w:hint="eastAsia"/>
          <w:color w:val="auto"/>
          <w:szCs w:val="32"/>
          <w:highlight w:val="none"/>
          <w:lang w:val="en-US" w:eastAsia="zh-CN"/>
        </w:rPr>
        <w:t>8日</w:t>
      </w:r>
      <w:r>
        <w:rPr>
          <w:rFonts w:hint="eastAsia" w:ascii="仿宋_GB2312" w:hAnsi="仿宋_GB2312" w:eastAsia="仿宋_GB2312" w:cs="仿宋_GB2312"/>
          <w:color w:val="auto"/>
          <w:sz w:val="32"/>
          <w:szCs w:val="32"/>
          <w:highlight w:val="none"/>
        </w:rPr>
        <w:t>向本府提出行政复议申请。</w:t>
      </w:r>
      <w:r>
        <w:rPr>
          <w:rFonts w:hint="eastAsia" w:hAnsi="Times New Roman"/>
          <w:color w:val="auto"/>
          <w:szCs w:val="32"/>
          <w:highlight w:val="none"/>
        </w:rPr>
        <w:t>本府于当天依法予以受理。</w:t>
      </w:r>
      <w:r>
        <w:rPr>
          <w:rFonts w:hint="eastAsia" w:hAnsi="Times New Roman"/>
          <w:color w:val="auto"/>
          <w:szCs w:val="32"/>
          <w:highlight w:val="none"/>
          <w:lang w:eastAsia="zh-CN"/>
        </w:rPr>
        <w:t>本案现已审查终结。</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申请人请求：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rPr>
      </w:pPr>
      <w:r>
        <w:rPr>
          <w:rFonts w:hint="eastAsia" w:cs="仿宋_GB2312"/>
          <w:color w:val="auto"/>
          <w:szCs w:val="32"/>
        </w:rPr>
        <w:t>撤销《</w:t>
      </w:r>
      <w:r>
        <w:rPr>
          <w:rFonts w:hint="eastAsia" w:hAnsi="Times New Roman"/>
          <w:color w:val="auto"/>
          <w:szCs w:val="32"/>
        </w:rPr>
        <w:t>处罚决定书</w:t>
      </w:r>
      <w:r>
        <w:rPr>
          <w:rFonts w:hint="eastAsia"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申请人称：</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Times New Roman"/>
          <w:color w:val="auto"/>
          <w:szCs w:val="32"/>
          <w:highlight w:val="none"/>
          <w:lang w:eastAsia="zh-CN"/>
        </w:rPr>
      </w:pPr>
      <w:r>
        <w:rPr>
          <w:rFonts w:hint="eastAsia" w:hAnsi="Times New Roman"/>
          <w:color w:val="auto"/>
          <w:szCs w:val="32"/>
          <w:highlight w:val="none"/>
          <w:lang w:eastAsia="zh-CN"/>
        </w:rPr>
        <w:t>每天所有车辆都是纵向停靠，停车位紧张，规划不合理，执法不连续，运气不好碰到抄违停就被处罚。</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hAnsi="仿宋_GB2312" w:cs="仿宋_GB2312"/>
          <w:color w:val="auto"/>
          <w:szCs w:val="32"/>
        </w:rPr>
      </w:pPr>
      <w:r>
        <w:rPr>
          <w:rFonts w:hint="eastAsia" w:hAnsi="仿宋_GB2312" w:cs="仿宋_GB2312"/>
          <w:b/>
          <w:bCs/>
          <w:color w:val="auto"/>
          <w:szCs w:val="32"/>
          <w:lang w:eastAsia="zh-CN"/>
        </w:rPr>
        <w:t>被申请人提交了《行政复议答复书》及相关证据材料</w:t>
      </w:r>
      <w:r>
        <w:rPr>
          <w:rFonts w:hint="eastAsia" w:hAnsi="仿宋_GB2312" w:cs="仿宋_GB2312"/>
          <w:color w:val="auto"/>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eastAsia="仿宋_GB2312" w:cs="仿宋_GB2312"/>
          <w:b w:val="0"/>
          <w:bCs w:val="0"/>
          <w:color w:val="auto"/>
          <w:szCs w:val="32"/>
          <w:highlight w:val="none"/>
          <w:lang w:val="en-US" w:eastAsia="zh-CN"/>
        </w:rPr>
      </w:pPr>
      <w:r>
        <w:rPr>
          <w:rFonts w:hint="eastAsia" w:cs="仿宋_GB2312"/>
          <w:b/>
          <w:bCs/>
          <w:color w:val="auto"/>
          <w:szCs w:val="32"/>
          <w:highlight w:val="none"/>
        </w:rPr>
        <w:t>被申请人答复称：</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一、申请人的违法事实及对其处罚的证据和法律依据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eastAsia="仿宋_GB2312"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25日20时27分，申请人停放号牌为***小型轿车在佛山市三水区西南街道贤兴一街路段，被移动式抓拍设备记录违反规定停放、临时停车，妨碍其它车辆、行人通行的违法行为，违反了《中华人民共和国道路交通安全法》第五十六条第一款，《中华人民共和国道路交通安全法实施条例》第六十三条之规定。对该违章于2023年7月26日系统录入后，2023年10月8日，被申请人向申请人开具了</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eastAsia="zh-CN"/>
        </w:rPr>
        <w:t>，</w:t>
      </w:r>
      <w:r>
        <w:rPr>
          <w:rFonts w:hint="eastAsia" w:cs="仿宋_GB2312"/>
          <w:color w:val="auto"/>
          <w:szCs w:val="32"/>
          <w:lang w:val="en-US" w:eastAsia="zh-CN"/>
        </w:rPr>
        <w:t>告知其申请行政复议、诉讼的途径，并根据《中华人民共和国道路交通安全法》第一百一十四条、第九十三条第二款，《广东省道路交通安全条例》第五十九条第一款第（二十三）项之规定，予以二百元罚款。申请人有在</w:t>
      </w:r>
      <w:r>
        <w:rPr>
          <w:rFonts w:hint="eastAsia" w:cs="仿宋_GB2312"/>
          <w:color w:val="auto"/>
          <w:szCs w:val="32"/>
        </w:rPr>
        <w:t>《</w:t>
      </w:r>
      <w:r>
        <w:rPr>
          <w:rFonts w:hint="eastAsia" w:hAnsi="Times New Roman"/>
          <w:color w:val="auto"/>
          <w:szCs w:val="32"/>
        </w:rPr>
        <w:t>处罚决定书</w:t>
      </w:r>
      <w:r>
        <w:rPr>
          <w:rFonts w:hint="eastAsia" w:cs="仿宋_GB2312"/>
          <w:color w:val="auto"/>
          <w:szCs w:val="32"/>
        </w:rPr>
        <w:t>》</w:t>
      </w:r>
      <w:r>
        <w:rPr>
          <w:rFonts w:hint="eastAsia" w:cs="仿宋_GB2312"/>
          <w:color w:val="auto"/>
          <w:szCs w:val="32"/>
          <w:lang w:val="en-US" w:eastAsia="zh-CN"/>
        </w:rPr>
        <w:t>上签名。</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 w:hAnsi="仿宋" w:eastAsia="仿宋" w:cs="方正仿宋_GB2312"/>
          <w:b/>
          <w:color w:val="auto"/>
          <w:kern w:val="0"/>
          <w:sz w:val="32"/>
          <w:szCs w:val="32"/>
          <w:lang w:val="en-US" w:eastAsia="zh-CN"/>
        </w:rPr>
      </w:pPr>
      <w:r>
        <w:rPr>
          <w:rFonts w:hint="eastAsia" w:ascii="仿宋" w:hAnsi="仿宋" w:eastAsia="仿宋" w:cs="方正仿宋_GB2312"/>
          <w:b/>
          <w:color w:val="auto"/>
          <w:kern w:val="0"/>
          <w:sz w:val="32"/>
          <w:szCs w:val="32"/>
          <w:lang w:val="en-US" w:eastAsia="zh-CN"/>
        </w:rPr>
        <w:t>对申请人疑问的答复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根据2023年7月25日20时27分，位于佛山市三水区西南街道贤兴一街路段被移动式抓拍设备提供的电子数据显示，***小型轿车停放的位置并没有施划停车泊位。《中华人民共和国道路交通安全法》第五十六条第一款规定，</w:t>
      </w:r>
      <w:r>
        <w:rPr>
          <w:rFonts w:hint="eastAsia" w:cs="仿宋_GB2312"/>
          <w:color w:val="auto"/>
          <w:szCs w:val="32"/>
          <w:lang w:val="en-US" w:eastAsia="zh-CN"/>
        </w:rPr>
        <w:t>机动车应当在规定地点停放。禁止在人行道上停放机动车；但是，依照本法第三十三条规定施划的停车泊位除外。故申请人的行为属违法停车。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27"/>
        <w:jc w:val="both"/>
        <w:textAlignment w:val="auto"/>
        <w:rPr>
          <w:rFonts w:hint="eastAsia" w:cs="仿宋_GB2312"/>
          <w:b w:val="0"/>
          <w:bCs w:val="0"/>
          <w:color w:val="auto"/>
          <w:szCs w:val="32"/>
          <w:highlight w:val="none"/>
          <w:lang w:val="en-US" w:eastAsia="zh-CN"/>
        </w:rPr>
      </w:pPr>
      <w:r>
        <w:rPr>
          <w:rFonts w:hint="eastAsia" w:cs="仿宋_GB2312"/>
          <w:b w:val="0"/>
          <w:bCs w:val="0"/>
          <w:color w:val="auto"/>
          <w:szCs w:val="32"/>
          <w:highlight w:val="none"/>
          <w:lang w:val="en-US" w:eastAsia="zh-CN"/>
        </w:rPr>
        <w:t>经核实，在违法图片中显示车上并没有驾驶员和乘客，地面上并没有停车位标线。根据违法图片清晰反映到，该车辆停放在人行通道上已经是严重妨碍行人通行。被申请人据此对申请人违法停车的行为作出处罚具备合理性。申请人应当将车辆停放在停车泊位上，不能随意停放。申请人所述理由于法无据，其申请撤销的事由不符合《道路交通安全违法行为处理程序规定》第二十二条规定的予以撤销的情形。</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本府查明：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cs="仿宋_GB2312"/>
          <w:b w:val="0"/>
          <w:bCs w:val="0"/>
          <w:color w:val="auto"/>
          <w:szCs w:val="32"/>
          <w:highlight w:val="none"/>
          <w:lang w:val="en-US" w:eastAsia="zh-CN"/>
        </w:rPr>
      </w:pPr>
      <w:r>
        <w:rPr>
          <w:rFonts w:hint="eastAsia" w:cs="仿宋_GB2312"/>
          <w:b w:val="0"/>
          <w:bCs w:val="0"/>
          <w:color w:val="auto"/>
          <w:szCs w:val="32"/>
          <w:highlight w:val="none"/>
          <w:lang w:val="en-US" w:eastAsia="zh-CN"/>
        </w:rPr>
        <w:t>2023年7月25日20时27分，申请人将车牌号为***小型轿车停放在佛山市三水区西南街道贤兴一街路段，该位置并未施划停车泊位，妨碍其它车辆、行人通行。申请人的上述行为被移动式抓拍设备记录。被申请人对该违法行为于2023年7月26日系统录入后，2023年10月8日认定申请人违反规定停放、临时停车，妨碍其它车辆、行人通行，违反了《中华人民共和国道路交通安全法》第五十六条第一款、《中华人民共和国道路交通安全法实施条例》第六十三条之规定，依据《广东省道路安全交通条例》第五十九条第一款第（二十三）项，《中华人民共和国道路交通安全法》第一百一十四条、第九十三条第二款之规定对申请人作出案涉《处罚决定书》，罚款二百元。</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rPr>
      </w:pPr>
      <w:r>
        <w:rPr>
          <w:rFonts w:hint="eastAsia" w:cs="仿宋_GB2312"/>
          <w:color w:val="auto"/>
          <w:szCs w:val="32"/>
        </w:rPr>
        <w:t>以上事实，有《关于车辆号牌为</w:t>
      </w:r>
      <w:r>
        <w:rPr>
          <w:rFonts w:hint="eastAsia" w:cs="仿宋_GB2312"/>
          <w:b w:val="0"/>
          <w:bCs w:val="0"/>
          <w:color w:val="auto"/>
          <w:szCs w:val="32"/>
          <w:highlight w:val="none"/>
          <w:lang w:val="en-US" w:eastAsia="zh-CN"/>
        </w:rPr>
        <w:t>***小型轿车</w:t>
      </w:r>
      <w:r>
        <w:rPr>
          <w:rFonts w:hint="eastAsia" w:cs="仿宋_GB2312"/>
          <w:color w:val="auto"/>
          <w:szCs w:val="32"/>
        </w:rPr>
        <w:t>的违法图片》</w:t>
      </w:r>
      <w:r>
        <w:rPr>
          <w:rFonts w:hint="eastAsia" w:cs="仿宋_GB2312"/>
          <w:color w:val="auto"/>
          <w:szCs w:val="32"/>
          <w:lang w:eastAsia="zh-CN"/>
        </w:rPr>
        <w:t>、电子监控设备</w:t>
      </w:r>
      <w:r>
        <w:rPr>
          <w:rFonts w:hint="eastAsia" w:cs="仿宋_GB2312"/>
          <w:color w:val="auto"/>
          <w:szCs w:val="32"/>
          <w:lang w:val="en-US" w:eastAsia="zh-CN"/>
        </w:rPr>
        <w:t>记录信息图片、</w:t>
      </w:r>
      <w:r>
        <w:rPr>
          <w:rFonts w:hint="eastAsia" w:cs="仿宋_GB2312"/>
          <w:color w:val="auto"/>
          <w:szCs w:val="32"/>
          <w:lang w:eastAsia="zh-CN"/>
        </w:rPr>
        <w:t>《处罚决定书》</w:t>
      </w:r>
      <w:r>
        <w:rPr>
          <w:rFonts w:hint="eastAsia" w:cs="仿宋_GB2312"/>
          <w:color w:val="auto"/>
          <w:szCs w:val="32"/>
        </w:rPr>
        <w:t>等证据</w:t>
      </w:r>
      <w:r>
        <w:rPr>
          <w:rFonts w:hint="eastAsia" w:cs="仿宋_GB2312"/>
          <w:color w:val="auto"/>
          <w:szCs w:val="32"/>
          <w:lang w:val="en-US" w:eastAsia="zh-CN"/>
        </w:rPr>
        <w:t>予以</w:t>
      </w:r>
      <w:r>
        <w:rPr>
          <w:rFonts w:hint="eastAsia" w:cs="仿宋_GB2312"/>
          <w:color w:val="auto"/>
          <w:szCs w:val="32"/>
        </w:rPr>
        <w:t>证明。</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b/>
          <w:bCs/>
          <w:color w:val="auto"/>
          <w:szCs w:val="32"/>
          <w:highlight w:val="none"/>
        </w:rPr>
      </w:pPr>
      <w:r>
        <w:rPr>
          <w:rFonts w:hint="eastAsia" w:cs="仿宋_GB2312"/>
          <w:b/>
          <w:bCs/>
          <w:color w:val="auto"/>
          <w:szCs w:val="32"/>
          <w:highlight w:val="none"/>
        </w:rPr>
        <w:t>本府认为：</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eastAsia="仿宋_GB2312"/>
          <w:color w:val="auto"/>
          <w:sz w:val="32"/>
          <w:szCs w:val="32"/>
        </w:rPr>
      </w:pPr>
      <w:bookmarkStart w:id="0" w:name="43"/>
      <w:r>
        <w:rPr>
          <w:rFonts w:hint="eastAsia" w:ascii="仿宋_GB2312" w:eastAsia="仿宋_GB2312"/>
          <w:color w:val="auto"/>
          <w:sz w:val="32"/>
          <w:szCs w:val="32"/>
        </w:rPr>
        <w:t>根据《中华人民共和国道路交通安全法》第五条第一款“国务院公安部门负责全国道路交通安全管理工作。县级以上地方各级人民政府公安机关交通管理部门负责本行政区域内的道路交通安全管理工作”和《</w:t>
      </w:r>
      <w:r>
        <w:rPr>
          <w:rFonts w:hint="eastAsia" w:ascii="仿宋_GB2312" w:hAnsi="仿宋_GB2312" w:eastAsia="仿宋_GB2312"/>
          <w:color w:val="auto"/>
          <w:sz w:val="32"/>
          <w:szCs w:val="32"/>
        </w:rPr>
        <w:t>中华人民共和国道路交通安全法实施条例》第一百零九条第一款</w:t>
      </w:r>
      <w:r>
        <w:rPr>
          <w:rFonts w:hint="eastAsia" w:ascii="仿宋_GB2312" w:eastAsia="仿宋_GB2312"/>
          <w:color w:val="auto"/>
          <w:sz w:val="32"/>
          <w:szCs w:val="32"/>
        </w:rPr>
        <w:t>“对道路交通安全违法行为人处以罚款或者暂扣驾驶证处罚的，由违法行为发生地的县级以上人民政府公安机关交通管理部门或者相当于同级的公安机关交通管理部门作出决定”的规定，被申请人作为</w:t>
      </w:r>
      <w:r>
        <w:rPr>
          <w:rFonts w:hint="eastAsia" w:ascii="仿宋_GB2312" w:eastAsia="仿宋_GB2312"/>
          <w:color w:val="auto"/>
          <w:sz w:val="32"/>
          <w:szCs w:val="32"/>
          <w:lang w:val="en-US" w:eastAsia="zh-CN"/>
        </w:rPr>
        <w:t>我区</w:t>
      </w:r>
      <w:r>
        <w:rPr>
          <w:rFonts w:hint="eastAsia" w:ascii="仿宋_GB2312" w:eastAsia="仿宋_GB2312"/>
          <w:color w:val="auto"/>
          <w:sz w:val="32"/>
          <w:szCs w:val="32"/>
        </w:rPr>
        <w:t>负责道路交通安全管理工作的部门，依法享有对本案所涉交通违法行为作出行政处罚的法定职权，所作出的行政处罚决定主体适格。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default" w:ascii="仿宋_GB2312" w:eastAsia="仿宋_GB2312"/>
          <w:color w:val="auto"/>
          <w:sz w:val="32"/>
          <w:szCs w:val="32"/>
          <w:lang w:val="en-US" w:eastAsia="zh-CN"/>
        </w:rPr>
      </w:pPr>
      <w:r>
        <w:rPr>
          <w:rFonts w:hint="eastAsia"/>
          <w:color w:val="auto"/>
          <w:sz w:val="32"/>
          <w:szCs w:val="32"/>
          <w:lang w:val="en-US" w:eastAsia="zh-CN"/>
        </w:rPr>
        <w:t>根据《道路交通安全违法行为处理程序规定》第四十三条第一款之规定“对违法行为人处以警告或者二百元以下罚款的，可以适用简易程序”，被申请人作出的行政处罚决定适用简易程序合法。</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ascii="仿宋_GB2312" w:hAnsi="宋体" w:cs="Times New Roman"/>
          <w:color w:val="auto"/>
          <w:sz w:val="32"/>
          <w:szCs w:val="32"/>
          <w:lang w:val="en-US" w:eastAsia="zh-CN"/>
        </w:rPr>
      </w:pPr>
      <w:r>
        <w:rPr>
          <w:rFonts w:hint="eastAsia" w:cs="Times New Roman"/>
          <w:b w:val="0"/>
          <w:bCs w:val="0"/>
          <w:color w:val="auto"/>
          <w:szCs w:val="32"/>
          <w:highlight w:val="none"/>
          <w:lang w:val="en-US" w:eastAsia="zh-CN"/>
        </w:rPr>
        <w:t>《中华人民共和国道路交通安全法》第五十六条第一款规定：“</w:t>
      </w:r>
      <w:r>
        <w:rPr>
          <w:rFonts w:hint="eastAsia" w:ascii="仿宋_GB2312" w:hAnsi="仿宋_GB2312" w:eastAsia="仿宋_GB2312" w:cs="Times New Roman"/>
          <w:i w:val="0"/>
          <w:iCs w:val="0"/>
          <w:caps w:val="0"/>
          <w:color w:val="auto"/>
          <w:spacing w:val="0"/>
          <w:sz w:val="32"/>
          <w:szCs w:val="32"/>
          <w:shd w:val="clear" w:color="auto" w:fill="auto"/>
        </w:rPr>
        <w:t>机动车应当在规定地点停放。禁止在人行道上停放机动车；但是，依照本法第三十三条规定施划的停车泊位除外。</w:t>
      </w:r>
      <w:r>
        <w:rPr>
          <w:rFonts w:hint="eastAsia" w:cs="Times New Roman"/>
          <w:b w:val="0"/>
          <w:bCs w:val="0"/>
          <w:color w:val="auto"/>
          <w:szCs w:val="32"/>
          <w:highlight w:val="none"/>
          <w:lang w:val="en-US" w:eastAsia="zh-CN"/>
        </w:rPr>
        <w:t>”《中华人民共和国道路交通安全法实施条例》第六十三条第（一）款规定：</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rPr>
        <w:t>机动车在道路上临时停车，应当遵守下列规定：（一）在设有禁停标志、标线的路段，在机动车道与非机动车道、人行道之间设有隔离设施的路段以及人行横道、施工地段，不得停车</w:t>
      </w:r>
      <w:r>
        <w:rPr>
          <w:rFonts w:hint="eastAsia" w:cs="Times New Roman"/>
          <w:i w:val="0"/>
          <w:iCs w:val="0"/>
          <w:caps w:val="0"/>
          <w:color w:val="auto"/>
          <w:spacing w:val="0"/>
          <w:sz w:val="32"/>
          <w:szCs w:val="32"/>
          <w:shd w:val="clear" w:color="auto" w:fill="auto"/>
          <w:lang w:eastAsia="zh-CN"/>
        </w:rPr>
        <w:t>。</w:t>
      </w:r>
      <w:r>
        <w:rPr>
          <w:rFonts w:hint="eastAsia" w:ascii="仿宋_GB2312" w:hAnsi="仿宋_GB2312" w:eastAsia="仿宋_GB2312"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《广东省道路安全交通条例》第五十九条第一款第（二十三）项规定：“</w:t>
      </w:r>
      <w:r>
        <w:rPr>
          <w:rFonts w:hint="eastAsia" w:ascii="仿宋_GB2312" w:hAnsi="仿宋_GB2312" w:eastAsia="仿宋_GB2312" w:cs="Times New Roman"/>
          <w:i w:val="0"/>
          <w:iCs w:val="0"/>
          <w:caps w:val="0"/>
          <w:color w:val="auto"/>
          <w:spacing w:val="0"/>
          <w:sz w:val="32"/>
          <w:szCs w:val="32"/>
          <w:shd w:val="clear" w:color="auto" w:fill="auto"/>
        </w:rPr>
        <w:t>驾驶机动车有下列行为之一的，责令改正，处警告或者二百元罚款：（二十三）违反规定停放、临时停车，妨碍其他车辆、行人通行的</w:t>
      </w:r>
      <w:r>
        <w:rPr>
          <w:rFonts w:hint="eastAsia" w:cs="Times New Roman"/>
          <w:i w:val="0"/>
          <w:iCs w:val="0"/>
          <w:caps w:val="0"/>
          <w:color w:val="auto"/>
          <w:spacing w:val="0"/>
          <w:sz w:val="32"/>
          <w:szCs w:val="32"/>
          <w:shd w:val="clear" w:color="auto" w:fill="auto"/>
          <w:lang w:eastAsia="zh-CN"/>
        </w:rPr>
        <w:t>。</w:t>
      </w:r>
      <w:r>
        <w:rPr>
          <w:rFonts w:hint="eastAsia" w:cs="Times New Roman"/>
          <w:b w:val="0"/>
          <w:bCs w:val="0"/>
          <w:color w:val="auto"/>
          <w:szCs w:val="32"/>
          <w:highlight w:val="none"/>
          <w:lang w:val="en-US" w:eastAsia="zh-CN"/>
        </w:rPr>
        <w:t>”</w:t>
      </w:r>
      <w:r>
        <w:rPr>
          <w:rFonts w:hint="eastAsia"/>
          <w:color w:val="auto"/>
          <w:sz w:val="32"/>
          <w:szCs w:val="32"/>
          <w:lang w:val="en-US" w:eastAsia="zh-CN"/>
        </w:rPr>
        <w:t>综合</w:t>
      </w:r>
      <w:r>
        <w:rPr>
          <w:rFonts w:hint="eastAsia" w:ascii="仿宋_GB2312" w:eastAsia="仿宋_GB2312"/>
          <w:color w:val="auto"/>
          <w:sz w:val="32"/>
          <w:szCs w:val="32"/>
          <w:lang w:val="en-US" w:eastAsia="zh-CN"/>
        </w:rPr>
        <w:t>被申请人提交的违法图片</w:t>
      </w:r>
      <w:r>
        <w:rPr>
          <w:rFonts w:hint="eastAsia"/>
          <w:color w:val="auto"/>
          <w:sz w:val="32"/>
          <w:szCs w:val="32"/>
          <w:lang w:val="en-US" w:eastAsia="zh-CN"/>
        </w:rPr>
        <w:t>、</w:t>
      </w:r>
      <w:r>
        <w:rPr>
          <w:rFonts w:hint="eastAsia" w:ascii="仿宋_GB2312" w:eastAsia="仿宋_GB2312"/>
          <w:color w:val="auto"/>
          <w:sz w:val="32"/>
          <w:szCs w:val="32"/>
          <w:lang w:val="en-US" w:eastAsia="zh-CN"/>
        </w:rPr>
        <w:t>电子监控记录信息图片等证据</w:t>
      </w:r>
      <w:r>
        <w:rPr>
          <w:rFonts w:hint="eastAsia"/>
          <w:color w:val="auto"/>
          <w:sz w:val="32"/>
          <w:szCs w:val="32"/>
          <w:lang w:val="en-US" w:eastAsia="zh-CN"/>
        </w:rPr>
        <w:t>可见</w:t>
      </w:r>
      <w:r>
        <w:rPr>
          <w:rFonts w:hint="eastAsia" w:ascii="仿宋_GB2312" w:eastAsia="仿宋_GB2312"/>
          <w:color w:val="auto"/>
          <w:sz w:val="32"/>
          <w:szCs w:val="32"/>
          <w:lang w:val="en-US" w:eastAsia="zh-CN"/>
        </w:rPr>
        <w:t>，</w:t>
      </w:r>
      <w:r>
        <w:rPr>
          <w:rFonts w:hint="eastAsia" w:cs="仿宋_GB2312"/>
          <w:b w:val="0"/>
          <w:bCs w:val="0"/>
          <w:color w:val="auto"/>
          <w:szCs w:val="32"/>
          <w:highlight w:val="none"/>
          <w:lang w:val="en-US" w:eastAsia="zh-CN"/>
        </w:rPr>
        <w:t>2023年7月25日20时27分</w:t>
      </w:r>
      <w:r>
        <w:rPr>
          <w:rFonts w:hint="eastAsia" w:cs="Times New Roman"/>
          <w:b w:val="0"/>
          <w:bCs w:val="0"/>
          <w:color w:val="auto"/>
          <w:szCs w:val="32"/>
          <w:highlight w:val="none"/>
          <w:lang w:val="en-US" w:eastAsia="zh-CN"/>
        </w:rPr>
        <w:t>申请人将车牌号为</w:t>
      </w:r>
      <w:r>
        <w:rPr>
          <w:rFonts w:hint="eastAsia" w:cs="仿宋_GB2312"/>
          <w:b w:val="0"/>
          <w:bCs w:val="0"/>
          <w:color w:val="auto"/>
          <w:szCs w:val="32"/>
          <w:highlight w:val="none"/>
          <w:lang w:val="en-US" w:eastAsia="zh-CN"/>
        </w:rPr>
        <w:t>***小型轿车</w:t>
      </w:r>
      <w:r>
        <w:rPr>
          <w:rFonts w:hint="eastAsia" w:cs="Times New Roman"/>
          <w:b w:val="0"/>
          <w:bCs w:val="0"/>
          <w:color w:val="auto"/>
          <w:szCs w:val="32"/>
          <w:highlight w:val="none"/>
          <w:lang w:val="en-US" w:eastAsia="zh-CN"/>
        </w:rPr>
        <w:t>停放在</w:t>
      </w:r>
      <w:r>
        <w:rPr>
          <w:rFonts w:hint="eastAsia" w:cs="仿宋_GB2312"/>
          <w:b w:val="0"/>
          <w:bCs w:val="0"/>
          <w:color w:val="auto"/>
          <w:szCs w:val="32"/>
          <w:highlight w:val="none"/>
          <w:lang w:val="en-US" w:eastAsia="zh-CN"/>
        </w:rPr>
        <w:t>佛山市三水区西南街道贤兴一街路段未施划停车泊位位置，申请人实施了违反规定停放、临时停车，妨碍其它车辆、行人通行的违法行为。</w:t>
      </w:r>
      <w:r>
        <w:rPr>
          <w:rFonts w:hint="eastAsia"/>
          <w:color w:val="auto"/>
          <w:sz w:val="32"/>
          <w:szCs w:val="32"/>
          <w:lang w:eastAsia="zh-CN"/>
        </w:rPr>
        <w:t>被申请人依据</w:t>
      </w:r>
      <w:r>
        <w:rPr>
          <w:rFonts w:hint="eastAsia" w:ascii="仿宋_GB2312" w:hAnsi="宋体"/>
          <w:color w:val="auto"/>
          <w:sz w:val="32"/>
          <w:szCs w:val="32"/>
        </w:rPr>
        <w:t>《中华人民共和国道路交通安全法》</w:t>
      </w:r>
      <w:r>
        <w:rPr>
          <w:rFonts w:hint="eastAsia" w:ascii="仿宋_GB2312" w:hAnsi="宋体" w:cs="Times New Roman"/>
          <w:color w:val="auto"/>
          <w:sz w:val="32"/>
          <w:szCs w:val="32"/>
          <w:lang w:eastAsia="zh-CN"/>
        </w:rPr>
        <w:t>第一百一十四条、第九十三条第二款之规定对申请人作出罚款二百元的行政处罚决定适用法律准</w:t>
      </w:r>
      <w:r>
        <w:rPr>
          <w:rFonts w:hint="eastAsia" w:ascii="仿宋_GB2312" w:hAnsi="宋体" w:cs="Times New Roman"/>
          <w:color w:val="auto"/>
          <w:sz w:val="32"/>
          <w:szCs w:val="32"/>
          <w:lang w:val="en-US" w:eastAsia="zh-CN"/>
        </w:rPr>
        <w:t>确。</w:t>
      </w:r>
      <w:r>
        <w:rPr>
          <w:rFonts w:hint="eastAsia" w:hAnsi="宋体" w:cs="Times New Roman"/>
          <w:color w:val="auto"/>
          <w:sz w:val="32"/>
          <w:szCs w:val="32"/>
          <w:lang w:val="en-US" w:eastAsia="zh-CN"/>
        </w:rPr>
        <w:t>申请人违法事实清楚，其复议理由本府不予采纳。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本府决定：</w:t>
      </w:r>
      <w:r>
        <w:rPr>
          <w:rFonts w:hint="eastAsia" w:ascii="仿宋_GB2312" w:hAnsi="仿宋_GB2312" w:eastAsia="仿宋_GB2312" w:cs="仿宋_GB2312"/>
          <w:b/>
          <w:bCs/>
          <w:color w:val="auto"/>
          <w:sz w:val="32"/>
          <w:szCs w:val="32"/>
          <w:highlight w:val="none"/>
        </w:rPr>
        <w:br w:type="textWrapping"/>
      </w:r>
      <w:r>
        <w:rPr>
          <w:rFonts w:hint="eastAsia"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根据《中华人民共和国行政复议法》第二十八条第一款第（一）项的规定，维持被申请人佛山市公安局三水分局交通警察大队于</w:t>
      </w:r>
      <w:r>
        <w:rPr>
          <w:rFonts w:hint="eastAsia"/>
          <w:color w:val="auto"/>
          <w:szCs w:val="32"/>
          <w:highlight w:val="none"/>
        </w:rPr>
        <w:t>2</w:t>
      </w:r>
      <w:r>
        <w:rPr>
          <w:rFonts w:hint="eastAsia"/>
          <w:color w:val="auto"/>
          <w:szCs w:val="32"/>
          <w:highlight w:val="none"/>
          <w:lang w:val="en-US" w:eastAsia="zh-CN"/>
        </w:rPr>
        <w:t>023</w:t>
      </w:r>
      <w:r>
        <w:rPr>
          <w:rFonts w:hint="eastAsia"/>
          <w:color w:val="auto"/>
          <w:szCs w:val="32"/>
          <w:highlight w:val="none"/>
        </w:rPr>
        <w:t>年</w:t>
      </w:r>
      <w:r>
        <w:rPr>
          <w:rFonts w:hint="eastAsia"/>
          <w:color w:val="auto"/>
          <w:szCs w:val="32"/>
          <w:highlight w:val="none"/>
          <w:lang w:val="en-US" w:eastAsia="zh-CN"/>
        </w:rPr>
        <w:t>10</w:t>
      </w:r>
      <w:r>
        <w:rPr>
          <w:rFonts w:hint="eastAsia"/>
          <w:color w:val="auto"/>
          <w:szCs w:val="32"/>
          <w:highlight w:val="none"/>
        </w:rPr>
        <w:t>月</w:t>
      </w:r>
      <w:r>
        <w:rPr>
          <w:rFonts w:hint="eastAsia"/>
          <w:color w:val="auto"/>
          <w:szCs w:val="32"/>
          <w:highlight w:val="none"/>
          <w:lang w:val="en-US" w:eastAsia="zh-CN"/>
        </w:rPr>
        <w:t>8</w:t>
      </w:r>
      <w:r>
        <w:rPr>
          <w:rFonts w:hint="eastAsia" w:ascii="仿宋_GB2312" w:hAnsi="仿宋_GB2312" w:eastAsia="仿宋_GB2312" w:cs="仿宋_GB2312"/>
          <w:color w:val="auto"/>
          <w:sz w:val="32"/>
          <w:szCs w:val="32"/>
          <w:highlight w:val="none"/>
        </w:rPr>
        <w:t>日作出的《</w:t>
      </w:r>
      <w:r>
        <w:rPr>
          <w:rFonts w:hint="eastAsia" w:cs="仿宋_GB2312"/>
          <w:color w:val="auto"/>
          <w:sz w:val="32"/>
          <w:szCs w:val="32"/>
          <w:highlight w:val="none"/>
          <w:lang w:val="en-US" w:eastAsia="zh-CN"/>
        </w:rPr>
        <w:t>公安交通管理简易程序处罚决定书</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val="en-US" w:eastAsia="zh-CN"/>
        </w:rPr>
        <w:t>编号：</w:t>
      </w:r>
      <w:r>
        <w:rPr>
          <w:rFonts w:hint="eastAsia" w:cs="仿宋_GB2312"/>
          <w:color w:val="auto"/>
          <w:szCs w:val="32"/>
          <w:highlight w:val="none"/>
          <w:lang w:val="en-US" w:eastAsia="zh-CN"/>
        </w:rPr>
        <w:t>4406071933275186</w:t>
      </w:r>
      <w:r>
        <w:rPr>
          <w:rFonts w:hint="eastAsia" w:ascii="仿宋_GB2312" w:hAnsi="仿宋_GB2312" w:eastAsia="仿宋_GB2312" w:cs="仿宋_GB2312"/>
          <w:color w:val="auto"/>
          <w:sz w:val="32"/>
          <w:szCs w:val="32"/>
          <w:highlight w:val="none"/>
        </w:rPr>
        <w:t>）</w:t>
      </w:r>
      <w:r>
        <w:rPr>
          <w:rFonts w:hint="eastAsia" w:cs="仿宋_GB2312"/>
          <w:color w:val="auto"/>
          <w:sz w:val="32"/>
          <w:szCs w:val="32"/>
          <w:highlight w:val="none"/>
          <w:lang w:eastAsia="zh-CN"/>
        </w:rPr>
        <w:t>。</w:t>
      </w:r>
      <w:r>
        <w:rPr>
          <w:rFonts w:hint="eastAsia"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cs="仿宋_GB2312"/>
          <w:color w:val="auto"/>
          <w:szCs w:val="32"/>
          <w:highlight w:val="none"/>
          <w:lang w:val="en-US" w:eastAsia="zh-CN"/>
        </w:rPr>
      </w:pPr>
      <w:r>
        <w:rPr>
          <w:rFonts w:hint="eastAsia" w:ascii="仿宋_GB2312" w:hAnsi="仿宋_GB2312" w:eastAsia="仿宋_GB2312" w:cs="仿宋_GB2312"/>
          <w:color w:val="auto"/>
          <w:sz w:val="32"/>
          <w:szCs w:val="32"/>
          <w:highlight w:val="none"/>
        </w:rPr>
        <w:t>如不服本行政复议决定，可以在收到本《行政复议决定书》之日起15日内，以佛山市公安局三水分局交通警察大队与本府为共同被告向佛山市顺德区人民法院提起诉讼。</w:t>
      </w:r>
    </w:p>
    <w:bookmarkEnd w:id="0"/>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32" w:firstLineChars="200"/>
        <w:jc w:val="both"/>
        <w:textAlignment w:val="auto"/>
        <w:outlineLvl w:val="9"/>
        <w:rPr>
          <w:rFonts w:hint="eastAsia" w:cs="仿宋_GB2312"/>
          <w:color w:val="auto"/>
          <w:szCs w:val="32"/>
          <w:highlight w:val="none"/>
        </w:rPr>
      </w:pPr>
      <w:r>
        <w:rPr>
          <w:rFonts w:hint="eastAsia" w:cs="仿宋_GB2312"/>
          <w:color w:val="auto"/>
          <w:szCs w:val="32"/>
          <w:highlight w:val="none"/>
        </w:rPr>
        <w:t xml:space="preserve">                          佛山市三水区人民政府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cs="仿宋_GB2312"/>
          <w:color w:val="auto"/>
          <w:szCs w:val="32"/>
          <w:highlight w:val="none"/>
          <w:lang w:val="en-US" w:eastAsia="zh-CN"/>
        </w:rPr>
      </w:pPr>
      <w:r>
        <w:rPr>
          <w:rFonts w:hint="eastAsia" w:cs="仿宋_GB2312"/>
          <w:color w:val="auto"/>
          <w:szCs w:val="32"/>
          <w:highlight w:val="none"/>
        </w:rPr>
        <w:t xml:space="preserve">                                20</w:t>
      </w:r>
      <w:r>
        <w:rPr>
          <w:rFonts w:hint="eastAsia" w:cs="仿宋_GB2312"/>
          <w:color w:val="auto"/>
          <w:szCs w:val="32"/>
          <w:highlight w:val="none"/>
          <w:lang w:val="en-US" w:eastAsia="zh-CN"/>
        </w:rPr>
        <w:t>23</w:t>
      </w:r>
      <w:r>
        <w:rPr>
          <w:rFonts w:hint="eastAsia" w:cs="仿宋_GB2312"/>
          <w:color w:val="auto"/>
          <w:szCs w:val="32"/>
          <w:highlight w:val="none"/>
        </w:rPr>
        <w:t>年</w:t>
      </w:r>
      <w:r>
        <w:rPr>
          <w:rFonts w:hint="eastAsia" w:cs="仿宋_GB2312"/>
          <w:color w:val="auto"/>
          <w:szCs w:val="32"/>
          <w:highlight w:val="none"/>
          <w:lang w:val="en-US" w:eastAsia="zh-CN"/>
        </w:rPr>
        <w:t>11</w:t>
      </w:r>
      <w:r>
        <w:rPr>
          <w:rFonts w:hint="eastAsia" w:cs="仿宋_GB2312"/>
          <w:color w:val="auto"/>
          <w:szCs w:val="32"/>
          <w:highlight w:val="none"/>
        </w:rPr>
        <w:t>月</w:t>
      </w:r>
      <w:r>
        <w:rPr>
          <w:rFonts w:hint="eastAsia" w:cs="仿宋_GB2312"/>
          <w:color w:val="auto"/>
          <w:szCs w:val="32"/>
          <w:highlight w:val="none"/>
          <w:lang w:val="en-US" w:eastAsia="zh-CN"/>
        </w:rPr>
        <w:t>8日</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hAnsi="仿宋_GB2312" w:cs="仿宋_GB2312"/>
          <w:color w:val="auto"/>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default" w:cs="仿宋_GB2312"/>
          <w:color w:val="auto"/>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color w:val="auto"/>
          <w:sz w:val="28"/>
        </w:rPr>
        <mc:AlternateContent>
          <mc:Choice Requires="wpg">
            <w:drawing>
              <wp:anchor distT="0" distB="0" distL="114300" distR="114300" simplePos="0" relativeHeight="251659264" behindDoc="0" locked="0" layoutInCell="1" allowOverlap="1">
                <wp:simplePos x="0" y="0"/>
                <wp:positionH relativeFrom="column">
                  <wp:posOffset>50800</wp:posOffset>
                </wp:positionH>
                <wp:positionV relativeFrom="paragraph">
                  <wp:posOffset>1626235</wp:posOffset>
                </wp:positionV>
                <wp:extent cx="5580380" cy="438150"/>
                <wp:effectExtent l="0" t="0" r="12700" b="3810"/>
                <wp:wrapNone/>
                <wp:docPr id="6" name="组合 2"/>
                <wp:cNvGraphicFramePr/>
                <a:graphic xmlns:a="http://schemas.openxmlformats.org/drawingml/2006/main">
                  <a:graphicData uri="http://schemas.microsoft.com/office/word/2010/wordprocessingGroup">
                    <wpg:wgp>
                      <wpg:cNvGrpSpPr/>
                      <wpg:grpSpPr>
                        <a:xfrm>
                          <a:off x="0" y="0"/>
                          <a:ext cx="5580380" cy="438150"/>
                          <a:chOff x="7501" y="117445"/>
                          <a:chExt cx="8788" cy="690"/>
                        </a:xfrm>
                      </wpg:grpSpPr>
                      <wpg:grpSp>
                        <wpg:cNvPr id="4" name="组合 9"/>
                        <wpg:cNvGrpSpPr/>
                        <wpg:grpSpPr>
                          <a:xfrm>
                            <a:off x="7501" y="117498"/>
                            <a:ext cx="8788" cy="591"/>
                            <a:chOff x="7319" y="65111"/>
                            <a:chExt cx="8788" cy="591"/>
                          </a:xfrm>
                        </wpg:grpSpPr>
                        <wps:wsp>
                          <wps:cNvPr id="2" name="直线 37"/>
                          <wps:cNvCnPr/>
                          <wps:spPr>
                            <a:xfrm flipV="1">
                              <a:off x="7333" y="65111"/>
                              <a:ext cx="8775" cy="29"/>
                            </a:xfrm>
                            <a:prstGeom prst="line">
                              <a:avLst/>
                            </a:prstGeom>
                            <a:ln w="9525" cap="flat" cmpd="sng">
                              <a:solidFill>
                                <a:srgbClr val="000000"/>
                              </a:solidFill>
                              <a:prstDash val="solid"/>
                              <a:round/>
                              <a:headEnd type="none" w="med" len="med"/>
                              <a:tailEnd type="none" w="med" len="med"/>
                            </a:ln>
                          </wps:spPr>
                          <wps:bodyPr upright="1"/>
                        </wps:wsp>
                        <wps:wsp>
                          <wps:cNvPr id="3" name="直线 38"/>
                          <wps:cNvCnPr/>
                          <wps:spPr>
                            <a:xfrm flipV="1">
                              <a:off x="7319" y="65674"/>
                              <a:ext cx="8775" cy="29"/>
                            </a:xfrm>
                            <a:prstGeom prst="line">
                              <a:avLst/>
                            </a:prstGeom>
                            <a:ln w="9525" cap="flat" cmpd="sng">
                              <a:solidFill>
                                <a:srgbClr val="000000"/>
                              </a:solidFill>
                              <a:prstDash val="solid"/>
                              <a:round/>
                              <a:headEnd type="none" w="med" len="med"/>
                              <a:tailEnd type="none" w="med" len="med"/>
                            </a:ln>
                          </wps:spPr>
                          <wps:bodyPr upright="1"/>
                        </wps:wsp>
                      </wpg:grpSp>
                      <wps:wsp>
                        <wps:cNvPr id="5" name="文本框 6"/>
                        <wps:cNvSpPr txBox="1"/>
                        <wps:spPr>
                          <a:xfrm>
                            <a:off x="7545" y="117445"/>
                            <a:ext cx="5385" cy="690"/>
                          </a:xfrm>
                          <a:prstGeom prst="rect">
                            <a:avLst/>
                          </a:prstGeom>
                          <a:noFill/>
                          <a:ln w="15875">
                            <a:noFill/>
                          </a:ln>
                        </wps:spPr>
                        <wps:txb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wps:txbx>
                        <wps:bodyPr upright="1"/>
                      </wps:wsp>
                    </wpg:wgp>
                  </a:graphicData>
                </a:graphic>
              </wp:anchor>
            </w:drawing>
          </mc:Choice>
          <mc:Fallback>
            <w:pict>
              <v:group id="组合 2" o:spid="_x0000_s1026" o:spt="203" style="position:absolute;left:0pt;margin-left:4pt;margin-top:128.05pt;height:34.5pt;width:439.4pt;z-index:251659264;mso-width-relative:page;mso-height-relative:page;" coordorigin="7501,117445" coordsize="8788,690" o:gfxdata="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FgAAAGRycy9QSwECFAAU&#10;AAAACACHTuJArMeJgtkAAAAJAQAADwAAAAAAAAABACAAAAA4AAAAZHJzL2Rvd25yZXYueG1sUEsB&#10;AhQAFAAAAAgAh07iQELo+4s0AwAA7wkAAA4AAAAAAAAAAQAgAAAAPgEAAGRycy9lMm9Eb2MueG1s&#10;UEsFBgAAAAAGAAYAWQEAAOQGAAAAAA==&#10;">
                <o:lock v:ext="edit" aspectratio="f"/>
                <v:group id="组合 9" o:spid="_x0000_s1026" o:spt="203" style="position:absolute;left:7501;top:117498;height:591;width:8788;" coordorigin="7319,65111" coordsize="8788,591" o:gfxdata="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AbvuzgvgAAANoAAAAPAAAAAAAAAAEA&#10;IAAAADgAAABkcnMvZG93bnJldi54bWxQSwECFAAUAAAACACHTuJAMy8FnjsAAAA5AAAAFQAAAAAA&#10;AAABACAAAAAjAQAAZHJzL2dyb3Vwc2hhcGV4bWwueG1sUEsFBgAAAAAGAAYAYAEAAOADAAAAAA==&#10;">
                  <o:lock v:ext="edit" aspectratio="f"/>
                  <v:line id="直线 37" o:spid="_x0000_s1026" o:spt="20" style="position:absolute;left:7333;top:65111;flip:y;height:29;width:8775;" filled="f" stroked="t" coordsize="21600,21600" o:gfxdata="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B3NKK7AAAA2gAAAA8AAAAAAAAAAQAgAAAAOAAAAGRycy9kb3ducmV2Lnht&#10;bFBLAQIUABQAAAAIAIdO4kAzLwWeOwAAADkAAAAQAAAAAAAAAAEAIAAAACABAABkcnMvc2hhcGV4&#10;bWwueG1sUEsFBgAAAAAGAAYAWwEAAMoDAAAAAA==&#10;">
                    <v:fill on="f" focussize="0,0"/>
                    <v:stroke color="#000000" joinstyle="round"/>
                    <v:imagedata o:title=""/>
                    <o:lock v:ext="edit" aspectratio="f"/>
                  </v:line>
                  <v:line id="直线 38" o:spid="_x0000_s1026" o:spt="20" style="position:absolute;left:7319;top:65674;flip:y;height:29;width:8775;" filled="f" stroked="t" coordsize="21600,21600" o:gfxdata="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fO5E5vAAAANoAAAAPAAAAAAAAAAEAIAAAADgAAABkcnMvZG93bnJldi54&#10;bWxQSwECFAAUAAAACACHTuJAMy8FnjsAAAA5AAAAEAAAAAAAAAABACAAAAAhAQAAZHJzL3NoYXBl&#10;eG1sLnhtbFBLBQYAAAAABgAGAFsBAADLAwAAAAA=&#10;">
                    <v:fill on="f" focussize="0,0"/>
                    <v:stroke color="#000000" joinstyle="round"/>
                    <v:imagedata o:title=""/>
                    <o:lock v:ext="edit" aspectratio="f"/>
                  </v:line>
                </v:group>
                <v:shape id="文本框 6" o:spid="_x0000_s1026" o:spt="202" type="#_x0000_t202" style="position:absolute;left:7545;top:117445;height:690;width:538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rPr>
                            <w:rFonts w:hint="default" w:eastAsia="仿宋_GB2312"/>
                            <w:sz w:val="28"/>
                            <w:szCs w:val="28"/>
                            <w:lang w:val="en-US" w:eastAsia="zh-CN"/>
                          </w:rPr>
                        </w:pPr>
                        <w:r>
                          <w:rPr>
                            <w:rFonts w:hint="eastAsia"/>
                            <w:sz w:val="28"/>
                            <w:szCs w:val="28"/>
                            <w:lang w:val="en-US" w:eastAsia="zh-CN"/>
                          </w:rPr>
                          <w:t>抄送：佛山市公安局三水分局。</w:t>
                        </w:r>
                      </w:p>
                    </w:txbxContent>
                  </v:textbox>
                </v:shape>
              </v:group>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417" w:left="1587" w:header="851" w:footer="1417" w:gutter="0"/>
      <w:pgNumType w:fmt="numberInDash"/>
      <w:cols w:space="720" w:num="1"/>
      <w:rtlGutter w:val="0"/>
      <w:docGrid w:type="linesAndChars" w:linePitch="571"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仿宋_GB2312">
    <w:altName w:val="方正仿宋_GBK"/>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08635" cy="263525"/>
              <wp:effectExtent l="0" t="0" r="0" b="0"/>
              <wp:wrapNone/>
              <wp:docPr id="1" name="矩形 1"/>
              <wp:cNvGraphicFramePr/>
              <a:graphic xmlns:a="http://schemas.openxmlformats.org/drawingml/2006/main">
                <a:graphicData uri="http://schemas.microsoft.com/office/word/2010/wordprocessingShape">
                  <wps:wsp>
                    <wps:cNvSpPr/>
                    <wps:spPr>
                      <a:xfrm>
                        <a:off x="0" y="0"/>
                        <a:ext cx="508635" cy="263525"/>
                      </a:xfrm>
                      <a:prstGeom prst="rect">
                        <a:avLst/>
                      </a:prstGeom>
                      <a:noFill/>
                      <a:ln>
                        <a:noFill/>
                      </a:ln>
                      <a:effectLst/>
                    </wps:spPr>
                    <wps:txbx>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20.75pt;width:40.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rc0jl0gAAAAMBAAAPAAAAAAAAAAEA&#10;IAAAADgAAABkcnMvZG93bnJldi54bWxQSwECFAAUAAAACACHTuJAEObOiMYBAACYAwAADgAAAAAA&#10;AAABACAAAAA3AQAAZHJzL2Uyb0RvYy54bWxQSwUGAAAAAAYABgBZAQAAbwUAAAAA&#10;">
              <v:fill on="f" focussize="0,0"/>
              <v:stroke on="f"/>
              <v:imagedata o:title=""/>
              <o:lock v:ext="edit" aspectratio="f"/>
              <v:textbox inset="0mm,0mm,0mm,0mm" style="mso-fit-shape-to-text:t;">
                <w:txbxContent>
                  <w:p>
                    <w:pPr>
                      <w:snapToGrid w:val="0"/>
                      <w:rPr>
                        <w:rFonts w:hint="eastAsia" w:eastAsia="宋体"/>
                        <w:sz w:val="24"/>
                        <w:szCs w:val="24"/>
                      </w:rPr>
                    </w:pPr>
                    <w:r>
                      <w:rPr>
                        <w:rFonts w:hint="eastAsia"/>
                        <w:szCs w:val="32"/>
                      </w:rPr>
                      <w:fldChar w:fldCharType="begin"/>
                    </w:r>
                    <w:r>
                      <w:rPr>
                        <w:rFonts w:hint="eastAsia"/>
                        <w:szCs w:val="32"/>
                      </w:rPr>
                      <w:instrText xml:space="preserve"> PAGE  \* MERGEFORMAT </w:instrText>
                    </w:r>
                    <w:r>
                      <w:rPr>
                        <w:rFonts w:hint="eastAsia"/>
                        <w:szCs w:val="32"/>
                      </w:rPr>
                      <w:fldChar w:fldCharType="separate"/>
                    </w:r>
                    <w:r>
                      <w:t>- 1 -</w:t>
                    </w:r>
                    <w:r>
                      <w:rPr>
                        <w:rFonts w:hint="eastAsia"/>
                        <w:szCs w:val="32"/>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D6A2B"/>
    <w:multiLevelType w:val="singleLevel"/>
    <w:tmpl w:val="57ED6A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A7FF5"/>
    <w:rsid w:val="0340746A"/>
    <w:rsid w:val="064D26E6"/>
    <w:rsid w:val="06602C43"/>
    <w:rsid w:val="0D2A506E"/>
    <w:rsid w:val="110732FE"/>
    <w:rsid w:val="130838EA"/>
    <w:rsid w:val="152A19AC"/>
    <w:rsid w:val="16355584"/>
    <w:rsid w:val="16A0509D"/>
    <w:rsid w:val="1A601D8C"/>
    <w:rsid w:val="1B0E6672"/>
    <w:rsid w:val="1E7D134D"/>
    <w:rsid w:val="214210A0"/>
    <w:rsid w:val="21AA4DEA"/>
    <w:rsid w:val="21B247E8"/>
    <w:rsid w:val="22C9418D"/>
    <w:rsid w:val="24523FD4"/>
    <w:rsid w:val="2A2655B6"/>
    <w:rsid w:val="2AD964D5"/>
    <w:rsid w:val="2D6370F4"/>
    <w:rsid w:val="2E3C43E6"/>
    <w:rsid w:val="2EE95803"/>
    <w:rsid w:val="2EED4FCB"/>
    <w:rsid w:val="307251DA"/>
    <w:rsid w:val="311819FD"/>
    <w:rsid w:val="32F20BA1"/>
    <w:rsid w:val="36AC4946"/>
    <w:rsid w:val="37502F51"/>
    <w:rsid w:val="3E010731"/>
    <w:rsid w:val="43134629"/>
    <w:rsid w:val="435B63AE"/>
    <w:rsid w:val="435C30D1"/>
    <w:rsid w:val="44157FAB"/>
    <w:rsid w:val="49AD39EF"/>
    <w:rsid w:val="50276527"/>
    <w:rsid w:val="516B2F84"/>
    <w:rsid w:val="518100C7"/>
    <w:rsid w:val="5505540A"/>
    <w:rsid w:val="58AC09D4"/>
    <w:rsid w:val="58C85AB5"/>
    <w:rsid w:val="5A571A4A"/>
    <w:rsid w:val="5A9609EB"/>
    <w:rsid w:val="5F1E3216"/>
    <w:rsid w:val="5F340720"/>
    <w:rsid w:val="62D35631"/>
    <w:rsid w:val="65DC2040"/>
    <w:rsid w:val="674028F1"/>
    <w:rsid w:val="6E2A3B85"/>
    <w:rsid w:val="6FA27ED4"/>
    <w:rsid w:val="7178357B"/>
    <w:rsid w:val="7236519F"/>
    <w:rsid w:val="73116555"/>
    <w:rsid w:val="76997ACB"/>
    <w:rsid w:val="782B377A"/>
    <w:rsid w:val="785475C3"/>
    <w:rsid w:val="78F27F0A"/>
    <w:rsid w:val="7B1D2D38"/>
    <w:rsid w:val="7C3070C3"/>
    <w:rsid w:val="7CDE72F0"/>
    <w:rsid w:val="7D01694B"/>
    <w:rsid w:val="D2679E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Plain Text"/>
    <w:basedOn w:val="1"/>
    <w:qFormat/>
    <w:uiPriority w:val="0"/>
    <w:rPr>
      <w:rFonts w:ascii="仿宋_GB2312" w:hAnsi="Courier New" w:eastAsia="仿宋_GB2312" w:cs="Courier New"/>
      <w:sz w:val="32"/>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E52</dc:creator>
  <cp:lastModifiedBy>sfj101-1</cp:lastModifiedBy>
  <cp:lastPrinted>2023-08-14T10:51:00Z</cp:lastPrinted>
  <dcterms:modified xsi:type="dcterms:W3CDTF">2023-12-29T15:21:24Z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61A5A250BCC704F274738E65571F325F</vt:lpwstr>
  </property>
</Properties>
</file>