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9"/>
        <w:rPr>
          <w:sz w:val="13"/>
        </w:rPr>
      </w:pPr>
    </w:p>
    <w:p>
      <w:pPr>
        <w:pStyle w:val="8"/>
        <w:rPr>
          <w:sz w:val="20"/>
        </w:rPr>
      </w:pPr>
    </w:p>
    <w:p>
      <w:pPr>
        <w:pStyle w:val="8"/>
        <w:spacing w:before="10"/>
        <w:rPr>
          <w:sz w:val="28"/>
        </w:rPr>
      </w:pPr>
    </w:p>
    <w:p>
      <w:pPr>
        <w:pStyle w:val="8"/>
        <w:spacing w:before="1"/>
        <w:jc w:val="center"/>
        <w:rPr>
          <w:b/>
          <w:bCs/>
          <w:spacing w:val="20"/>
          <w:sz w:val="56"/>
          <w:szCs w:val="56"/>
        </w:rPr>
      </w:pPr>
      <w:r>
        <w:rPr>
          <w:rFonts w:hint="eastAsia"/>
          <w:b/>
          <w:bCs/>
          <w:spacing w:val="20"/>
          <w:sz w:val="56"/>
          <w:szCs w:val="52"/>
        </w:rPr>
        <w:t>乐平镇工业园区三丫涌桥工程</w:t>
      </w:r>
    </w:p>
    <w:p>
      <w:pPr>
        <w:pStyle w:val="8"/>
        <w:spacing w:before="1"/>
        <w:jc w:val="both"/>
        <w:rPr>
          <w:b/>
          <w:bCs/>
          <w:spacing w:val="20"/>
          <w:sz w:val="68"/>
          <w:szCs w:val="72"/>
        </w:rPr>
      </w:pPr>
    </w:p>
    <w:p>
      <w:pPr>
        <w:pStyle w:val="9"/>
        <w:rPr>
          <w:b/>
          <w:bCs/>
          <w:spacing w:val="20"/>
          <w:sz w:val="68"/>
          <w:szCs w:val="72"/>
        </w:rPr>
      </w:pPr>
    </w:p>
    <w:p>
      <w:pPr>
        <w:pStyle w:val="9"/>
        <w:rPr>
          <w:b/>
          <w:bCs/>
          <w:spacing w:val="20"/>
          <w:sz w:val="68"/>
          <w:szCs w:val="72"/>
        </w:rPr>
      </w:pPr>
    </w:p>
    <w:p>
      <w:pPr>
        <w:pStyle w:val="8"/>
        <w:spacing w:before="1"/>
        <w:jc w:val="both"/>
        <w:rPr>
          <w:b/>
          <w:bCs/>
          <w:spacing w:val="20"/>
          <w:sz w:val="68"/>
          <w:szCs w:val="72"/>
        </w:rPr>
      </w:pPr>
    </w:p>
    <w:p>
      <w:pPr>
        <w:ind w:left="445" w:right="144"/>
        <w:jc w:val="center"/>
        <w:outlineLvl w:val="0"/>
        <w:rPr>
          <w:b/>
          <w:sz w:val="54"/>
        </w:rPr>
      </w:pPr>
      <w:bookmarkStart w:id="0" w:name="_Toc13869"/>
      <w:r>
        <w:rPr>
          <w:rFonts w:hint="eastAsia"/>
          <w:b/>
          <w:sz w:val="54"/>
        </w:rPr>
        <w:t>竞争性磋商文件</w:t>
      </w:r>
      <w:bookmarkEnd w:id="0"/>
    </w:p>
    <w:p>
      <w:pPr>
        <w:pStyle w:val="2"/>
        <w:ind w:firstLine="440"/>
      </w:pPr>
    </w:p>
    <w:p/>
    <w:p>
      <w:pPr>
        <w:pStyle w:val="2"/>
        <w:ind w:firstLine="440"/>
      </w:pPr>
    </w:p>
    <w:p/>
    <w:p>
      <w:pPr>
        <w:pStyle w:val="8"/>
        <w:rPr>
          <w:b/>
          <w:sz w:val="54"/>
        </w:rPr>
      </w:pPr>
    </w:p>
    <w:p>
      <w:pPr>
        <w:pStyle w:val="8"/>
        <w:spacing w:before="7"/>
        <w:rPr>
          <w:b/>
          <w:sz w:val="72"/>
        </w:rPr>
      </w:pPr>
    </w:p>
    <w:p>
      <w:pPr>
        <w:pStyle w:val="9"/>
      </w:pPr>
    </w:p>
    <w:p>
      <w:pPr>
        <w:pStyle w:val="9"/>
      </w:pPr>
    </w:p>
    <w:p>
      <w:pPr>
        <w:adjustRightInd w:val="0"/>
        <w:snapToGrid w:val="0"/>
        <w:spacing w:line="360" w:lineRule="auto"/>
        <w:ind w:right="358" w:firstLine="1502" w:firstLineChars="500"/>
        <w:outlineLvl w:val="0"/>
        <w:rPr>
          <w:rFonts w:ascii="华文宋体" w:hAnsi="华文宋体" w:eastAsia="华文宋体" w:cs="Times New Roman"/>
          <w:b/>
          <w:sz w:val="30"/>
          <w:szCs w:val="30"/>
          <w:lang w:val="en-US" w:bidi="ar-SA"/>
        </w:rPr>
      </w:pPr>
      <w:r>
        <w:rPr>
          <w:rFonts w:hint="eastAsia" w:ascii="华文宋体" w:hAnsi="华文宋体" w:eastAsia="华文宋体" w:cs="Times New Roman"/>
          <w:b/>
          <w:sz w:val="30"/>
          <w:szCs w:val="30"/>
          <w:lang w:val="en-US" w:bidi="ar-SA"/>
        </w:rPr>
        <w:t>采购项目编号：</w:t>
      </w:r>
      <w:r>
        <w:rPr>
          <w:rFonts w:ascii="华文宋体" w:hAnsi="华文宋体" w:eastAsia="华文宋体" w:cs="Times New Roman"/>
          <w:b/>
          <w:sz w:val="30"/>
          <w:szCs w:val="30"/>
          <w:lang w:val="en-US" w:bidi="ar-SA"/>
        </w:rPr>
        <w:t>GDHY202402</w:t>
      </w:r>
    </w:p>
    <w:p>
      <w:pPr>
        <w:adjustRightInd w:val="0"/>
        <w:snapToGrid w:val="0"/>
        <w:spacing w:line="360" w:lineRule="auto"/>
        <w:ind w:left="445" w:right="358" w:firstLine="601" w:firstLineChars="200"/>
        <w:jc w:val="center"/>
        <w:outlineLvl w:val="0"/>
        <w:rPr>
          <w:rFonts w:ascii="华文宋体" w:hAnsi="华文宋体" w:eastAsia="华文宋体" w:cs="Times New Roman"/>
          <w:b/>
          <w:sz w:val="30"/>
          <w:szCs w:val="30"/>
          <w:lang w:val="en-US" w:bidi="ar-SA"/>
        </w:rPr>
      </w:pPr>
    </w:p>
    <w:p>
      <w:pPr>
        <w:pStyle w:val="23"/>
        <w:snapToGrid w:val="0"/>
        <w:spacing w:line="360" w:lineRule="auto"/>
        <w:jc w:val="center"/>
        <w:rPr>
          <w:rFonts w:hint="default" w:ascii="华文宋体" w:hAnsi="华文宋体" w:eastAsia="华文宋体" w:cs="仿宋_GB2312"/>
          <w:color w:val="auto"/>
          <w:sz w:val="32"/>
          <w:szCs w:val="32"/>
        </w:rPr>
      </w:pPr>
      <w:r>
        <w:rPr>
          <w:rFonts w:ascii="华文宋体" w:hAnsi="华文宋体" w:eastAsia="华文宋体"/>
          <w:b/>
          <w:color w:val="auto"/>
          <w:sz w:val="30"/>
          <w:szCs w:val="30"/>
        </w:rPr>
        <w:t>采购单位：佛山市三水海江怡乐建设投资有限公司</w:t>
      </w:r>
    </w:p>
    <w:p>
      <w:pPr>
        <w:pStyle w:val="23"/>
        <w:snapToGrid w:val="0"/>
        <w:spacing w:line="360" w:lineRule="auto"/>
        <w:rPr>
          <w:rFonts w:hint="default" w:ascii="华文宋体" w:hAnsi="华文宋体" w:eastAsia="华文宋体"/>
          <w:b/>
          <w:color w:val="auto"/>
          <w:sz w:val="30"/>
          <w:szCs w:val="30"/>
        </w:rPr>
      </w:pPr>
    </w:p>
    <w:p>
      <w:pPr>
        <w:pStyle w:val="2"/>
        <w:adjustRightInd w:val="0"/>
        <w:snapToGrid w:val="0"/>
        <w:spacing w:line="360" w:lineRule="auto"/>
        <w:ind w:firstLine="1541" w:firstLineChars="513"/>
      </w:pPr>
      <w:r>
        <w:rPr>
          <w:rFonts w:hint="eastAsia" w:ascii="华文宋体" w:hAnsi="华文宋体" w:eastAsia="华文宋体"/>
          <w:b/>
          <w:sz w:val="30"/>
          <w:szCs w:val="30"/>
        </w:rPr>
        <w:t>采购代理机构：广东华盈工程管理有限公司</w:t>
      </w:r>
    </w:p>
    <w:p>
      <w:pPr>
        <w:adjustRightInd w:val="0"/>
        <w:snapToGrid w:val="0"/>
        <w:spacing w:line="360" w:lineRule="auto"/>
        <w:jc w:val="center"/>
      </w:pPr>
      <w:r>
        <w:rPr>
          <w:b/>
          <w:bCs/>
          <w:sz w:val="36"/>
          <w:szCs w:val="36"/>
        </w:rPr>
        <w:t>202</w:t>
      </w:r>
      <w:r>
        <w:rPr>
          <w:rFonts w:hint="eastAsia"/>
          <w:b/>
          <w:bCs/>
          <w:sz w:val="36"/>
          <w:szCs w:val="36"/>
          <w:lang w:val="en-US"/>
        </w:rPr>
        <w:t>4</w:t>
      </w:r>
      <w:r>
        <w:rPr>
          <w:b/>
          <w:bCs/>
          <w:sz w:val="36"/>
          <w:szCs w:val="36"/>
        </w:rPr>
        <w:t>年</w:t>
      </w:r>
      <w:r>
        <w:rPr>
          <w:b/>
          <w:bCs/>
          <w:sz w:val="36"/>
          <w:szCs w:val="36"/>
          <w:lang w:val="en-US"/>
        </w:rPr>
        <w:t>2</w:t>
      </w:r>
      <w:r>
        <w:rPr>
          <w:rFonts w:hint="eastAsia"/>
          <w:b/>
          <w:bCs/>
          <w:sz w:val="36"/>
          <w:szCs w:val="36"/>
        </w:rPr>
        <w:t>月</w:t>
      </w:r>
    </w:p>
    <w:p/>
    <w:sdt>
      <w:sdtPr>
        <w:rPr>
          <w:b/>
          <w:bCs/>
          <w:sz w:val="28"/>
          <w:szCs w:val="32"/>
        </w:rPr>
        <w:id w:val="147471799"/>
        <w15:color w:val="DBDBDB"/>
        <w:docPartObj>
          <w:docPartGallery w:val="Table of Contents"/>
          <w:docPartUnique/>
        </w:docPartObj>
      </w:sdtPr>
      <w:sdtEndPr>
        <w:rPr>
          <w:b/>
          <w:bCs/>
          <w:sz w:val="28"/>
          <w:szCs w:val="32"/>
        </w:rPr>
      </w:sdtEndPr>
      <w:sdtContent>
        <w:p>
          <w:pPr>
            <w:spacing w:line="300" w:lineRule="auto"/>
            <w:jc w:val="center"/>
            <w:rPr>
              <w:b/>
              <w:bCs/>
              <w:sz w:val="28"/>
              <w:szCs w:val="32"/>
            </w:rPr>
          </w:pPr>
          <w:bookmarkStart w:id="1" w:name="_Toc9053"/>
        </w:p>
        <w:p>
          <w:pPr>
            <w:pStyle w:val="9"/>
          </w:pPr>
          <w:r>
            <w:br w:type="page"/>
          </w:r>
        </w:p>
        <w:p>
          <w:pPr>
            <w:spacing w:line="300" w:lineRule="auto"/>
            <w:jc w:val="center"/>
            <w:rPr>
              <w:b/>
              <w:bCs/>
              <w:sz w:val="32"/>
              <w:szCs w:val="32"/>
            </w:rPr>
          </w:pPr>
          <w:r>
            <w:rPr>
              <w:b/>
              <w:bCs/>
              <w:sz w:val="28"/>
              <w:szCs w:val="32"/>
            </w:rPr>
            <w:t>目录</w:t>
          </w:r>
        </w:p>
        <w:p>
          <w:pPr>
            <w:pStyle w:val="44"/>
            <w:tabs>
              <w:tab w:val="right" w:leader="dot" w:pos="9750"/>
            </w:tabs>
            <w:rPr>
              <w:b/>
            </w:rPr>
          </w:pPr>
          <w:r>
            <w:fldChar w:fldCharType="begin"/>
          </w:r>
          <w:r>
            <w:instrText xml:space="preserve">TOC \o "1-2" \h \u </w:instrText>
          </w:r>
          <w:r>
            <w:fldChar w:fldCharType="separate"/>
          </w:r>
        </w:p>
        <w:p>
          <w:pPr>
            <w:pStyle w:val="44"/>
            <w:tabs>
              <w:tab w:val="right" w:leader="dot" w:pos="9750"/>
            </w:tabs>
            <w:rPr>
              <w:b/>
              <w:sz w:val="21"/>
              <w:szCs w:val="21"/>
            </w:rPr>
          </w:pPr>
          <w:r>
            <w:fldChar w:fldCharType="begin"/>
          </w:r>
          <w:r>
            <w:instrText xml:space="preserve"> HYPERLINK \l "_Toc4090" </w:instrText>
          </w:r>
          <w:r>
            <w:fldChar w:fldCharType="separate"/>
          </w:r>
          <w:r>
            <w:rPr>
              <w:rFonts w:hint="eastAsia" w:ascii="宋体" w:hAnsi="宋体" w:eastAsia="宋体" w:cs="宋体"/>
              <w:b/>
              <w:bCs/>
              <w:sz w:val="21"/>
              <w:szCs w:val="21"/>
            </w:rPr>
            <w:t>第一部分</w:t>
          </w:r>
          <w:r>
            <w:rPr>
              <w:rFonts w:ascii="宋体" w:hAnsi="宋体" w:eastAsia="宋体" w:cs="宋体"/>
              <w:b/>
              <w:bCs/>
              <w:sz w:val="21"/>
              <w:szCs w:val="21"/>
            </w:rPr>
            <w:t xml:space="preserve">  </w:t>
          </w:r>
          <w:r>
            <w:rPr>
              <w:rFonts w:hint="eastAsia" w:ascii="宋体" w:hAnsi="宋体" w:eastAsia="宋体" w:cs="宋体"/>
              <w:b/>
              <w:bCs/>
              <w:sz w:val="21"/>
              <w:szCs w:val="21"/>
            </w:rPr>
            <w:t>磋商邀请函</w:t>
          </w:r>
          <w:r>
            <w:rPr>
              <w:b/>
              <w:sz w:val="21"/>
              <w:szCs w:val="21"/>
            </w:rPr>
            <w:tab/>
          </w:r>
          <w:r>
            <w:rPr>
              <w:b/>
              <w:sz w:val="21"/>
              <w:szCs w:val="21"/>
            </w:rPr>
            <w:fldChar w:fldCharType="begin"/>
          </w:r>
          <w:r>
            <w:rPr>
              <w:b/>
              <w:sz w:val="21"/>
              <w:szCs w:val="21"/>
            </w:rPr>
            <w:instrText xml:space="preserve"> PAGEREF _Toc4090 \h </w:instrText>
          </w:r>
          <w:r>
            <w:rPr>
              <w:b/>
              <w:sz w:val="21"/>
              <w:szCs w:val="21"/>
            </w:rPr>
            <w:fldChar w:fldCharType="separate"/>
          </w:r>
          <w:r>
            <w:rPr>
              <w:b/>
              <w:sz w:val="21"/>
              <w:szCs w:val="21"/>
            </w:rPr>
            <w:t>3</w:t>
          </w:r>
          <w:r>
            <w:rPr>
              <w:b/>
              <w:sz w:val="21"/>
              <w:szCs w:val="21"/>
            </w:rPr>
            <w:fldChar w:fldCharType="end"/>
          </w:r>
          <w:r>
            <w:rPr>
              <w:b/>
              <w:sz w:val="21"/>
              <w:szCs w:val="21"/>
            </w:rPr>
            <w:fldChar w:fldCharType="end"/>
          </w:r>
        </w:p>
        <w:p>
          <w:pPr>
            <w:pStyle w:val="44"/>
            <w:tabs>
              <w:tab w:val="right" w:leader="dot" w:pos="9750"/>
            </w:tabs>
            <w:rPr>
              <w:b/>
              <w:sz w:val="21"/>
              <w:szCs w:val="21"/>
            </w:rPr>
          </w:pPr>
          <w:r>
            <w:fldChar w:fldCharType="begin"/>
          </w:r>
          <w:r>
            <w:instrText xml:space="preserve"> HYPERLINK \l "_Toc6916" </w:instrText>
          </w:r>
          <w:r>
            <w:fldChar w:fldCharType="separate"/>
          </w:r>
          <w:r>
            <w:rPr>
              <w:rFonts w:hint="eastAsia" w:ascii="宋体" w:hAnsi="宋体" w:eastAsia="宋体" w:cs="宋体"/>
              <w:b/>
              <w:bCs/>
              <w:sz w:val="21"/>
              <w:szCs w:val="21"/>
            </w:rPr>
            <w:t>第二部分</w:t>
          </w:r>
          <w:r>
            <w:rPr>
              <w:rFonts w:ascii="宋体" w:hAnsi="宋体" w:eastAsia="宋体" w:cs="宋体"/>
              <w:b/>
              <w:bCs/>
              <w:sz w:val="21"/>
              <w:szCs w:val="21"/>
            </w:rPr>
            <w:t xml:space="preserve">  </w:t>
          </w:r>
          <w:r>
            <w:rPr>
              <w:rFonts w:hint="eastAsia" w:ascii="宋体" w:hAnsi="宋体" w:eastAsia="宋体" w:cs="宋体"/>
              <w:b/>
              <w:bCs/>
              <w:sz w:val="21"/>
              <w:szCs w:val="21"/>
            </w:rPr>
            <w:t>采购项目内容</w:t>
          </w:r>
          <w:r>
            <w:rPr>
              <w:b/>
              <w:sz w:val="21"/>
              <w:szCs w:val="21"/>
            </w:rPr>
            <w:tab/>
          </w:r>
          <w:r>
            <w:rPr>
              <w:b/>
              <w:sz w:val="21"/>
              <w:szCs w:val="21"/>
            </w:rPr>
            <w:fldChar w:fldCharType="begin"/>
          </w:r>
          <w:r>
            <w:rPr>
              <w:b/>
              <w:sz w:val="21"/>
              <w:szCs w:val="21"/>
            </w:rPr>
            <w:instrText xml:space="preserve"> PAGEREF _Toc6916 \h </w:instrText>
          </w:r>
          <w:r>
            <w:rPr>
              <w:b/>
              <w:sz w:val="21"/>
              <w:szCs w:val="21"/>
            </w:rPr>
            <w:fldChar w:fldCharType="separate"/>
          </w:r>
          <w:r>
            <w:rPr>
              <w:b/>
              <w:sz w:val="21"/>
              <w:szCs w:val="21"/>
            </w:rPr>
            <w:t>8</w:t>
          </w:r>
          <w:r>
            <w:rPr>
              <w:b/>
              <w:sz w:val="21"/>
              <w:szCs w:val="21"/>
            </w:rPr>
            <w:fldChar w:fldCharType="end"/>
          </w:r>
          <w:r>
            <w:rPr>
              <w:b/>
              <w:sz w:val="21"/>
              <w:szCs w:val="21"/>
            </w:rPr>
            <w:fldChar w:fldCharType="end"/>
          </w:r>
        </w:p>
        <w:p>
          <w:pPr>
            <w:pStyle w:val="45"/>
            <w:tabs>
              <w:tab w:val="right" w:leader="dot" w:pos="9750"/>
            </w:tabs>
            <w:ind w:left="440"/>
            <w:rPr>
              <w:sz w:val="21"/>
              <w:szCs w:val="21"/>
            </w:rPr>
          </w:pPr>
          <w:r>
            <w:fldChar w:fldCharType="begin"/>
          </w:r>
          <w:r>
            <w:instrText xml:space="preserve"> HYPERLINK \l "_Toc29409" </w:instrText>
          </w:r>
          <w:r>
            <w:fldChar w:fldCharType="separate"/>
          </w:r>
          <w:r>
            <w:rPr>
              <w:rFonts w:hint="eastAsia" w:ascii="宋体" w:hAnsi="宋体" w:eastAsia="宋体" w:cs="宋体"/>
              <w:bCs/>
              <w:sz w:val="21"/>
              <w:szCs w:val="21"/>
            </w:rPr>
            <w:t>一、</w:t>
          </w:r>
          <w:r>
            <w:rPr>
              <w:rFonts w:hint="eastAsia" w:cs="宋体"/>
              <w:bCs/>
              <w:sz w:val="21"/>
              <w:szCs w:val="21"/>
            </w:rPr>
            <w:t>项目概况</w:t>
          </w:r>
          <w:r>
            <w:rPr>
              <w:sz w:val="21"/>
              <w:szCs w:val="21"/>
            </w:rPr>
            <w:tab/>
          </w:r>
          <w:r>
            <w:rPr>
              <w:sz w:val="21"/>
              <w:szCs w:val="21"/>
            </w:rPr>
            <w:fldChar w:fldCharType="begin"/>
          </w:r>
          <w:r>
            <w:rPr>
              <w:sz w:val="21"/>
              <w:szCs w:val="21"/>
            </w:rPr>
            <w:instrText xml:space="preserve"> PAGEREF _Toc29409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"_Toc26193" </w:instrText>
          </w:r>
          <w:r>
            <w:fldChar w:fldCharType="separate"/>
          </w:r>
          <w:r>
            <w:rPr>
              <w:rFonts w:hint="eastAsia" w:ascii="宋体" w:hAnsi="宋体" w:eastAsia="宋体" w:cs="宋体"/>
              <w:bCs/>
              <w:sz w:val="21"/>
              <w:szCs w:val="21"/>
            </w:rPr>
            <w:t>二、本项目确定成交供应商数量</w:t>
          </w:r>
          <w:r>
            <w:rPr>
              <w:sz w:val="21"/>
              <w:szCs w:val="21"/>
            </w:rPr>
            <w:tab/>
          </w:r>
          <w:r>
            <w:rPr>
              <w:sz w:val="21"/>
              <w:szCs w:val="21"/>
            </w:rPr>
            <w:fldChar w:fldCharType="begin"/>
          </w:r>
          <w:r>
            <w:rPr>
              <w:sz w:val="21"/>
              <w:szCs w:val="21"/>
            </w:rPr>
            <w:instrText xml:space="preserve"> PAGEREF _Toc26193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"_Toc5722" </w:instrText>
          </w:r>
          <w:r>
            <w:fldChar w:fldCharType="separate"/>
          </w:r>
          <w:r>
            <w:rPr>
              <w:rFonts w:hint="eastAsia" w:ascii="宋体" w:hAnsi="宋体" w:eastAsia="宋体" w:cs="宋体"/>
              <w:bCs/>
              <w:sz w:val="21"/>
              <w:szCs w:val="21"/>
            </w:rPr>
            <w:t>三、本采购项目预算</w:t>
          </w:r>
          <w:r>
            <w:rPr>
              <w:sz w:val="21"/>
              <w:szCs w:val="21"/>
            </w:rPr>
            <w:tab/>
          </w:r>
          <w:r>
            <w:rPr>
              <w:sz w:val="21"/>
              <w:szCs w:val="21"/>
            </w:rPr>
            <w:fldChar w:fldCharType="begin"/>
          </w:r>
          <w:r>
            <w:rPr>
              <w:sz w:val="21"/>
              <w:szCs w:val="21"/>
            </w:rPr>
            <w:instrText xml:space="preserve"> PAGEREF _Toc5722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"_Toc13543" </w:instrText>
          </w:r>
          <w:r>
            <w:fldChar w:fldCharType="separate"/>
          </w:r>
          <w:r>
            <w:rPr>
              <w:rFonts w:hint="eastAsia" w:ascii="宋体" w:hAnsi="宋体" w:eastAsia="宋体" w:cs="宋体"/>
              <w:bCs/>
              <w:sz w:val="21"/>
              <w:szCs w:val="21"/>
            </w:rPr>
            <w:t>四、本项目工作内容及要求</w:t>
          </w:r>
          <w:r>
            <w:rPr>
              <w:sz w:val="21"/>
              <w:szCs w:val="21"/>
            </w:rPr>
            <w:tab/>
          </w:r>
          <w:r>
            <w:rPr>
              <w:sz w:val="21"/>
              <w:szCs w:val="21"/>
            </w:rPr>
            <w:fldChar w:fldCharType="begin"/>
          </w:r>
          <w:r>
            <w:rPr>
              <w:sz w:val="21"/>
              <w:szCs w:val="21"/>
            </w:rPr>
            <w:instrText xml:space="preserve"> PAGEREF _Toc13543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"_Toc9268" </w:instrText>
          </w:r>
          <w:r>
            <w:fldChar w:fldCharType="separate"/>
          </w:r>
          <w:r>
            <w:rPr>
              <w:rFonts w:hint="eastAsia" w:ascii="宋体" w:hAnsi="宋体" w:eastAsia="宋体" w:cs="宋体"/>
              <w:bCs/>
              <w:sz w:val="21"/>
              <w:szCs w:val="21"/>
            </w:rPr>
            <w:t>五、本项目工作依据及文件</w:t>
          </w:r>
          <w:r>
            <w:rPr>
              <w:sz w:val="21"/>
              <w:szCs w:val="21"/>
            </w:rPr>
            <w:tab/>
          </w:r>
          <w:r>
            <w:rPr>
              <w:sz w:val="21"/>
              <w:szCs w:val="21"/>
            </w:rPr>
            <w:fldChar w:fldCharType="begin"/>
          </w:r>
          <w:r>
            <w:rPr>
              <w:sz w:val="21"/>
              <w:szCs w:val="21"/>
            </w:rPr>
            <w:instrText xml:space="preserve"> PAGEREF _Toc9268 \h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"_Toc12445" </w:instrText>
          </w:r>
          <w:r>
            <w:fldChar w:fldCharType="separate"/>
          </w:r>
          <w:r>
            <w:rPr>
              <w:rFonts w:hint="eastAsia" w:ascii="宋体" w:hAnsi="宋体" w:eastAsia="宋体" w:cs="宋体"/>
              <w:bCs/>
              <w:sz w:val="21"/>
              <w:szCs w:val="21"/>
            </w:rPr>
            <w:t>六、报价要求</w:t>
          </w:r>
          <w:r>
            <w:rPr>
              <w:sz w:val="21"/>
              <w:szCs w:val="21"/>
            </w:rPr>
            <w:tab/>
          </w:r>
          <w:r>
            <w:rPr>
              <w:sz w:val="21"/>
              <w:szCs w:val="21"/>
            </w:rPr>
            <w:fldChar w:fldCharType="begin"/>
          </w:r>
          <w:r>
            <w:rPr>
              <w:sz w:val="21"/>
              <w:szCs w:val="21"/>
            </w:rPr>
            <w:instrText xml:space="preserve"> PAGEREF _Toc12445 \h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"_Toc2784" </w:instrText>
          </w:r>
          <w:r>
            <w:fldChar w:fldCharType="separate"/>
          </w:r>
          <w:r>
            <w:rPr>
              <w:rFonts w:hint="eastAsia" w:ascii="宋体" w:hAnsi="宋体" w:eastAsia="宋体" w:cs="宋体"/>
              <w:bCs/>
              <w:sz w:val="21"/>
              <w:szCs w:val="21"/>
            </w:rPr>
            <w:t>七、付款方式</w:t>
          </w:r>
          <w:r>
            <w:rPr>
              <w:sz w:val="21"/>
              <w:szCs w:val="21"/>
            </w:rPr>
            <w:tab/>
          </w:r>
          <w:r>
            <w:rPr>
              <w:sz w:val="21"/>
              <w:szCs w:val="21"/>
            </w:rPr>
            <w:fldChar w:fldCharType="begin"/>
          </w:r>
          <w:r>
            <w:rPr>
              <w:sz w:val="21"/>
              <w:szCs w:val="21"/>
            </w:rPr>
            <w:instrText xml:space="preserve"> PAGEREF _Toc2784 \h </w:instrText>
          </w:r>
          <w:r>
            <w:rPr>
              <w:sz w:val="21"/>
              <w:szCs w:val="21"/>
            </w:rPr>
            <w:fldChar w:fldCharType="separate"/>
          </w:r>
          <w:r>
            <w:rPr>
              <w:sz w:val="21"/>
              <w:szCs w:val="21"/>
            </w:rPr>
            <w:t>11</w:t>
          </w:r>
          <w:r>
            <w:rPr>
              <w:sz w:val="21"/>
              <w:szCs w:val="21"/>
            </w:rPr>
            <w:fldChar w:fldCharType="end"/>
          </w:r>
          <w:r>
            <w:rPr>
              <w:sz w:val="21"/>
              <w:szCs w:val="21"/>
            </w:rPr>
            <w:fldChar w:fldCharType="end"/>
          </w:r>
        </w:p>
        <w:p>
          <w:pPr>
            <w:pStyle w:val="44"/>
            <w:tabs>
              <w:tab w:val="right" w:leader="dot" w:pos="9750"/>
            </w:tabs>
            <w:rPr>
              <w:b/>
              <w:sz w:val="21"/>
              <w:szCs w:val="21"/>
            </w:rPr>
          </w:pPr>
          <w:r>
            <w:fldChar w:fldCharType="begin"/>
          </w:r>
          <w:r>
            <w:instrText xml:space="preserve"> HYPERLINK \l "_Toc4688" </w:instrText>
          </w:r>
          <w:r>
            <w:fldChar w:fldCharType="separate"/>
          </w:r>
          <w:r>
            <w:rPr>
              <w:rFonts w:hint="eastAsia" w:ascii="宋体" w:hAnsi="宋体" w:eastAsia="宋体" w:cs="宋体"/>
              <w:b/>
              <w:bCs/>
              <w:sz w:val="21"/>
              <w:szCs w:val="21"/>
            </w:rPr>
            <w:t>第三部分</w:t>
          </w:r>
          <w:r>
            <w:rPr>
              <w:rFonts w:ascii="宋体" w:hAnsi="宋体" w:eastAsia="宋体" w:cs="宋体"/>
              <w:b/>
              <w:bCs/>
              <w:sz w:val="21"/>
              <w:szCs w:val="21"/>
            </w:rPr>
            <w:t xml:space="preserve">  </w:t>
          </w:r>
          <w:r>
            <w:rPr>
              <w:rFonts w:hint="eastAsia" w:ascii="宋体" w:hAnsi="宋体" w:eastAsia="宋体" w:cs="宋体"/>
              <w:b/>
              <w:bCs/>
              <w:sz w:val="21"/>
              <w:szCs w:val="21"/>
            </w:rPr>
            <w:t>磋商须知</w:t>
          </w:r>
          <w:r>
            <w:rPr>
              <w:b/>
              <w:sz w:val="21"/>
              <w:szCs w:val="21"/>
            </w:rPr>
            <w:tab/>
          </w:r>
          <w:r>
            <w:rPr>
              <w:b/>
              <w:sz w:val="21"/>
              <w:szCs w:val="21"/>
            </w:rPr>
            <w:fldChar w:fldCharType="begin"/>
          </w:r>
          <w:r>
            <w:rPr>
              <w:b/>
              <w:sz w:val="21"/>
              <w:szCs w:val="21"/>
            </w:rPr>
            <w:instrText xml:space="preserve"> PAGEREF _Toc4688 \h </w:instrText>
          </w:r>
          <w:r>
            <w:rPr>
              <w:b/>
              <w:sz w:val="21"/>
              <w:szCs w:val="21"/>
            </w:rPr>
            <w:fldChar w:fldCharType="separate"/>
          </w:r>
          <w:r>
            <w:rPr>
              <w:b/>
              <w:sz w:val="21"/>
              <w:szCs w:val="21"/>
            </w:rPr>
            <w:t>13</w:t>
          </w:r>
          <w:r>
            <w:rPr>
              <w:b/>
              <w:sz w:val="21"/>
              <w:szCs w:val="21"/>
            </w:rPr>
            <w:fldChar w:fldCharType="end"/>
          </w:r>
          <w:r>
            <w:rPr>
              <w:b/>
              <w:sz w:val="21"/>
              <w:szCs w:val="21"/>
            </w:rPr>
            <w:fldChar w:fldCharType="end"/>
          </w:r>
        </w:p>
        <w:p>
          <w:pPr>
            <w:pStyle w:val="45"/>
            <w:tabs>
              <w:tab w:val="right" w:leader="dot" w:pos="9750"/>
            </w:tabs>
            <w:ind w:left="440"/>
            <w:rPr>
              <w:sz w:val="21"/>
              <w:szCs w:val="21"/>
            </w:rPr>
          </w:pPr>
          <w:r>
            <w:fldChar w:fldCharType="begin"/>
          </w:r>
          <w:r>
            <w:instrText xml:space="preserve"> HYPERLINK \l "_Toc15175" </w:instrText>
          </w:r>
          <w:r>
            <w:fldChar w:fldCharType="separate"/>
          </w:r>
          <w:r>
            <w:rPr>
              <w:rFonts w:hint="eastAsia" w:ascii="宋体" w:hAnsi="宋体" w:eastAsia="宋体" w:cs="宋体"/>
              <w:sz w:val="21"/>
              <w:szCs w:val="21"/>
            </w:rPr>
            <w:t>一、说</w:t>
          </w:r>
          <w:r>
            <w:rPr>
              <w:rFonts w:ascii="宋体" w:hAnsi="宋体" w:eastAsia="宋体" w:cs="宋体"/>
              <w:sz w:val="21"/>
              <w:szCs w:val="21"/>
            </w:rPr>
            <w:t xml:space="preserve">  </w:t>
          </w:r>
          <w:r>
            <w:rPr>
              <w:rFonts w:hint="eastAsia" w:ascii="宋体" w:hAnsi="宋体" w:eastAsia="宋体" w:cs="宋体"/>
              <w:sz w:val="21"/>
              <w:szCs w:val="21"/>
            </w:rPr>
            <w:t>明</w:t>
          </w:r>
          <w:r>
            <w:rPr>
              <w:sz w:val="21"/>
              <w:szCs w:val="21"/>
            </w:rPr>
            <w:tab/>
          </w:r>
          <w:r>
            <w:rPr>
              <w:sz w:val="21"/>
              <w:szCs w:val="21"/>
            </w:rPr>
            <w:fldChar w:fldCharType="begin"/>
          </w:r>
          <w:r>
            <w:rPr>
              <w:sz w:val="21"/>
              <w:szCs w:val="21"/>
            </w:rPr>
            <w:instrText xml:space="preserve"> PAGEREF _Toc15175 \h </w:instrText>
          </w:r>
          <w:r>
            <w:rPr>
              <w:sz w:val="21"/>
              <w:szCs w:val="21"/>
            </w:rPr>
            <w:fldChar w:fldCharType="separate"/>
          </w:r>
          <w:r>
            <w:rPr>
              <w:sz w:val="21"/>
              <w:szCs w:val="21"/>
            </w:rPr>
            <w:t>14</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"_Toc15545" </w:instrText>
          </w:r>
          <w:r>
            <w:fldChar w:fldCharType="separate"/>
          </w:r>
          <w:r>
            <w:rPr>
              <w:rFonts w:hint="eastAsia" w:ascii="宋体" w:hAnsi="宋体" w:eastAsia="宋体" w:cs="宋体"/>
              <w:sz w:val="21"/>
              <w:szCs w:val="21"/>
            </w:rPr>
            <w:t>二、磋商文件</w:t>
          </w:r>
          <w:r>
            <w:rPr>
              <w:sz w:val="21"/>
              <w:szCs w:val="21"/>
            </w:rPr>
            <w:tab/>
          </w:r>
          <w:r>
            <w:rPr>
              <w:sz w:val="21"/>
              <w:szCs w:val="21"/>
            </w:rPr>
            <w:fldChar w:fldCharType="begin"/>
          </w:r>
          <w:r>
            <w:rPr>
              <w:sz w:val="21"/>
              <w:szCs w:val="21"/>
            </w:rPr>
            <w:instrText xml:space="preserve"> PAGEREF _Toc15545 \h </w:instrText>
          </w:r>
          <w:r>
            <w:rPr>
              <w:sz w:val="21"/>
              <w:szCs w:val="21"/>
            </w:rPr>
            <w:fldChar w:fldCharType="separate"/>
          </w:r>
          <w:r>
            <w:rPr>
              <w:sz w:val="21"/>
              <w:szCs w:val="21"/>
            </w:rPr>
            <w:t>15</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"_Toc21714" </w:instrText>
          </w:r>
          <w:r>
            <w:fldChar w:fldCharType="separate"/>
          </w:r>
          <w:r>
            <w:rPr>
              <w:rFonts w:hint="eastAsia" w:ascii="宋体" w:hAnsi="宋体" w:eastAsia="宋体" w:cs="宋体"/>
              <w:sz w:val="21"/>
              <w:szCs w:val="21"/>
            </w:rPr>
            <w:t>三、竞争性磋商响应文件的编制</w:t>
          </w:r>
          <w:r>
            <w:rPr>
              <w:sz w:val="21"/>
              <w:szCs w:val="21"/>
            </w:rPr>
            <w:tab/>
          </w:r>
          <w:r>
            <w:rPr>
              <w:sz w:val="21"/>
              <w:szCs w:val="21"/>
            </w:rPr>
            <w:fldChar w:fldCharType="begin"/>
          </w:r>
          <w:r>
            <w:rPr>
              <w:sz w:val="21"/>
              <w:szCs w:val="21"/>
            </w:rPr>
            <w:instrText xml:space="preserve"> PAGEREF _Toc21714 \h </w:instrText>
          </w:r>
          <w:r>
            <w:rPr>
              <w:sz w:val="21"/>
              <w:szCs w:val="21"/>
            </w:rPr>
            <w:fldChar w:fldCharType="separate"/>
          </w:r>
          <w:r>
            <w:rPr>
              <w:sz w:val="21"/>
              <w:szCs w:val="21"/>
            </w:rPr>
            <w:t>16</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"_Toc17130" </w:instrText>
          </w:r>
          <w:r>
            <w:fldChar w:fldCharType="separate"/>
          </w:r>
          <w:r>
            <w:rPr>
              <w:rFonts w:hint="eastAsia" w:ascii="宋体" w:hAnsi="宋体" w:eastAsia="宋体" w:cs="宋体"/>
              <w:sz w:val="21"/>
              <w:szCs w:val="21"/>
            </w:rPr>
            <w:t>四、磋商报价要求</w:t>
          </w:r>
          <w:r>
            <w:rPr>
              <w:sz w:val="21"/>
              <w:szCs w:val="21"/>
            </w:rPr>
            <w:tab/>
          </w:r>
          <w:r>
            <w:rPr>
              <w:sz w:val="21"/>
              <w:szCs w:val="21"/>
            </w:rPr>
            <w:fldChar w:fldCharType="begin"/>
          </w:r>
          <w:r>
            <w:rPr>
              <w:sz w:val="21"/>
              <w:szCs w:val="21"/>
            </w:rPr>
            <w:instrText xml:space="preserve"> PAGEREF _Toc17130 \h </w:instrText>
          </w:r>
          <w:r>
            <w:rPr>
              <w:sz w:val="21"/>
              <w:szCs w:val="21"/>
            </w:rPr>
            <w:fldChar w:fldCharType="separate"/>
          </w:r>
          <w:r>
            <w:rPr>
              <w:sz w:val="21"/>
              <w:szCs w:val="21"/>
            </w:rPr>
            <w:t>16</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"_Toc29291" </w:instrText>
          </w:r>
          <w:r>
            <w:fldChar w:fldCharType="separate"/>
          </w:r>
          <w:r>
            <w:rPr>
              <w:rFonts w:hint="eastAsia" w:ascii="宋体" w:hAnsi="宋体" w:eastAsia="宋体" w:cs="宋体"/>
              <w:sz w:val="21"/>
              <w:szCs w:val="21"/>
            </w:rPr>
            <w:t>五、磋商保证金</w:t>
          </w:r>
          <w:r>
            <w:rPr>
              <w:rFonts w:hint="eastAsia" w:cs="宋体"/>
              <w:sz w:val="21"/>
              <w:szCs w:val="21"/>
            </w:rPr>
            <w:t>（本项目不适用）</w:t>
          </w:r>
          <w:r>
            <w:rPr>
              <w:sz w:val="21"/>
              <w:szCs w:val="21"/>
            </w:rPr>
            <w:tab/>
          </w:r>
          <w:r>
            <w:rPr>
              <w:sz w:val="21"/>
              <w:szCs w:val="21"/>
            </w:rPr>
            <w:fldChar w:fldCharType="begin"/>
          </w:r>
          <w:r>
            <w:rPr>
              <w:sz w:val="21"/>
              <w:szCs w:val="21"/>
            </w:rPr>
            <w:instrText xml:space="preserve"> PAGEREF _Toc29291 \h </w:instrText>
          </w:r>
          <w:r>
            <w:rPr>
              <w:sz w:val="21"/>
              <w:szCs w:val="21"/>
            </w:rPr>
            <w:fldChar w:fldCharType="separate"/>
          </w:r>
          <w:r>
            <w:rPr>
              <w:sz w:val="21"/>
              <w:szCs w:val="21"/>
            </w:rPr>
            <w:t>17</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"_Toc24510" </w:instrText>
          </w:r>
          <w:r>
            <w:fldChar w:fldCharType="separate"/>
          </w:r>
          <w:r>
            <w:rPr>
              <w:rFonts w:hint="eastAsia" w:ascii="宋体" w:hAnsi="宋体" w:eastAsia="宋体" w:cs="宋体"/>
              <w:sz w:val="21"/>
              <w:szCs w:val="21"/>
            </w:rPr>
            <w:t>六、竞争性磋商响应文件的份数、封装和递交</w:t>
          </w:r>
          <w:r>
            <w:rPr>
              <w:sz w:val="21"/>
              <w:szCs w:val="21"/>
            </w:rPr>
            <w:tab/>
          </w:r>
          <w:r>
            <w:rPr>
              <w:sz w:val="21"/>
              <w:szCs w:val="21"/>
            </w:rPr>
            <w:fldChar w:fldCharType="begin"/>
          </w:r>
          <w:r>
            <w:rPr>
              <w:sz w:val="21"/>
              <w:szCs w:val="21"/>
            </w:rPr>
            <w:instrText xml:space="preserve"> PAGEREF _Toc24510 \h </w:instrText>
          </w:r>
          <w:r>
            <w:rPr>
              <w:sz w:val="21"/>
              <w:szCs w:val="21"/>
            </w:rPr>
            <w:fldChar w:fldCharType="separate"/>
          </w:r>
          <w:r>
            <w:rPr>
              <w:sz w:val="21"/>
              <w:szCs w:val="21"/>
            </w:rPr>
            <w:t>17</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"_Toc10416" </w:instrText>
          </w:r>
          <w:r>
            <w:fldChar w:fldCharType="separate"/>
          </w:r>
          <w:r>
            <w:rPr>
              <w:rFonts w:hint="eastAsia" w:ascii="宋体" w:hAnsi="宋体" w:eastAsia="宋体" w:cs="宋体"/>
              <w:sz w:val="21"/>
              <w:szCs w:val="21"/>
            </w:rPr>
            <w:t>七、磋商标准、步骤及方法</w:t>
          </w:r>
          <w:r>
            <w:rPr>
              <w:sz w:val="21"/>
              <w:szCs w:val="21"/>
            </w:rPr>
            <w:tab/>
          </w:r>
          <w:r>
            <w:rPr>
              <w:sz w:val="21"/>
              <w:szCs w:val="21"/>
            </w:rPr>
            <w:fldChar w:fldCharType="begin"/>
          </w:r>
          <w:r>
            <w:rPr>
              <w:sz w:val="21"/>
              <w:szCs w:val="21"/>
            </w:rPr>
            <w:instrText xml:space="preserve"> PAGEREF _Toc10416 \h </w:instrText>
          </w:r>
          <w:r>
            <w:rPr>
              <w:sz w:val="21"/>
              <w:szCs w:val="21"/>
            </w:rPr>
            <w:fldChar w:fldCharType="separate"/>
          </w:r>
          <w:r>
            <w:rPr>
              <w:sz w:val="21"/>
              <w:szCs w:val="21"/>
            </w:rPr>
            <w:t>18</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"_Toc19907" </w:instrText>
          </w:r>
          <w:r>
            <w:fldChar w:fldCharType="separate"/>
          </w:r>
          <w:r>
            <w:rPr>
              <w:rFonts w:hint="eastAsia" w:ascii="宋体" w:hAnsi="宋体" w:eastAsia="宋体" w:cs="宋体"/>
              <w:sz w:val="21"/>
              <w:szCs w:val="21"/>
            </w:rPr>
            <w:t>八、确定成交供应商办法</w:t>
          </w:r>
          <w:r>
            <w:rPr>
              <w:sz w:val="21"/>
              <w:szCs w:val="21"/>
            </w:rPr>
            <w:tab/>
          </w:r>
          <w:r>
            <w:rPr>
              <w:sz w:val="21"/>
              <w:szCs w:val="21"/>
            </w:rPr>
            <w:fldChar w:fldCharType="begin"/>
          </w:r>
          <w:r>
            <w:rPr>
              <w:sz w:val="21"/>
              <w:szCs w:val="21"/>
            </w:rPr>
            <w:instrText xml:space="preserve"> PAGEREF _Toc19907 \h </w:instrText>
          </w:r>
          <w:r>
            <w:rPr>
              <w:sz w:val="21"/>
              <w:szCs w:val="21"/>
            </w:rPr>
            <w:fldChar w:fldCharType="separate"/>
          </w:r>
          <w:r>
            <w:rPr>
              <w:sz w:val="21"/>
              <w:szCs w:val="21"/>
            </w:rPr>
            <w:t>25</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"_Toc1727" </w:instrText>
          </w:r>
          <w:r>
            <w:fldChar w:fldCharType="separate"/>
          </w:r>
          <w:r>
            <w:rPr>
              <w:rFonts w:hint="eastAsia" w:ascii="宋体" w:hAnsi="宋体" w:eastAsia="宋体" w:cs="宋体"/>
              <w:sz w:val="21"/>
              <w:szCs w:val="21"/>
            </w:rPr>
            <w:t>九、质疑</w:t>
          </w:r>
          <w:r>
            <w:rPr>
              <w:sz w:val="21"/>
              <w:szCs w:val="21"/>
            </w:rPr>
            <w:tab/>
          </w:r>
          <w:r>
            <w:rPr>
              <w:sz w:val="21"/>
              <w:szCs w:val="21"/>
            </w:rPr>
            <w:fldChar w:fldCharType="begin"/>
          </w:r>
          <w:r>
            <w:rPr>
              <w:sz w:val="21"/>
              <w:szCs w:val="21"/>
            </w:rPr>
            <w:instrText xml:space="preserve"> PAGEREF _Toc1727 \h </w:instrText>
          </w:r>
          <w:r>
            <w:rPr>
              <w:sz w:val="21"/>
              <w:szCs w:val="21"/>
            </w:rPr>
            <w:fldChar w:fldCharType="separate"/>
          </w:r>
          <w:r>
            <w:rPr>
              <w:sz w:val="21"/>
              <w:szCs w:val="21"/>
            </w:rPr>
            <w:t>25</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"_Toc11104" </w:instrText>
          </w:r>
          <w:r>
            <w:fldChar w:fldCharType="separate"/>
          </w:r>
          <w:r>
            <w:rPr>
              <w:rFonts w:hint="eastAsia" w:ascii="宋体" w:hAnsi="宋体" w:eastAsia="宋体" w:cs="宋体"/>
              <w:sz w:val="21"/>
              <w:szCs w:val="21"/>
            </w:rPr>
            <w:t>十、合同</w:t>
          </w:r>
          <w:r>
            <w:rPr>
              <w:sz w:val="21"/>
              <w:szCs w:val="21"/>
            </w:rPr>
            <w:tab/>
          </w:r>
          <w:r>
            <w:rPr>
              <w:sz w:val="21"/>
              <w:szCs w:val="21"/>
            </w:rPr>
            <w:fldChar w:fldCharType="begin"/>
          </w:r>
          <w:r>
            <w:rPr>
              <w:sz w:val="21"/>
              <w:szCs w:val="21"/>
            </w:rPr>
            <w:instrText xml:space="preserve"> PAGEREF _Toc11104 \h </w:instrText>
          </w:r>
          <w:r>
            <w:rPr>
              <w:sz w:val="21"/>
              <w:szCs w:val="21"/>
            </w:rPr>
            <w:fldChar w:fldCharType="separate"/>
          </w:r>
          <w:r>
            <w:rPr>
              <w:sz w:val="21"/>
              <w:szCs w:val="21"/>
            </w:rPr>
            <w:t>26</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"_Toc13874" </w:instrText>
          </w:r>
          <w:r>
            <w:fldChar w:fldCharType="separate"/>
          </w:r>
          <w:r>
            <w:rPr>
              <w:rFonts w:hint="eastAsia" w:ascii="宋体" w:hAnsi="宋体" w:eastAsia="宋体" w:cs="宋体"/>
              <w:sz w:val="21"/>
              <w:szCs w:val="21"/>
            </w:rPr>
            <w:t>十一、适用法律</w:t>
          </w:r>
          <w:r>
            <w:rPr>
              <w:sz w:val="21"/>
              <w:szCs w:val="21"/>
            </w:rPr>
            <w:tab/>
          </w:r>
          <w:r>
            <w:rPr>
              <w:sz w:val="21"/>
              <w:szCs w:val="21"/>
            </w:rPr>
            <w:fldChar w:fldCharType="begin"/>
          </w:r>
          <w:r>
            <w:rPr>
              <w:sz w:val="21"/>
              <w:szCs w:val="21"/>
            </w:rPr>
            <w:instrText xml:space="preserve"> PAGEREF _Toc13874 \h </w:instrText>
          </w:r>
          <w:r>
            <w:rPr>
              <w:sz w:val="21"/>
              <w:szCs w:val="21"/>
            </w:rPr>
            <w:fldChar w:fldCharType="separate"/>
          </w:r>
          <w:r>
            <w:rPr>
              <w:sz w:val="21"/>
              <w:szCs w:val="21"/>
            </w:rPr>
            <w:t>26</w:t>
          </w:r>
          <w:r>
            <w:rPr>
              <w:sz w:val="21"/>
              <w:szCs w:val="21"/>
            </w:rPr>
            <w:fldChar w:fldCharType="end"/>
          </w:r>
          <w:r>
            <w:rPr>
              <w:sz w:val="21"/>
              <w:szCs w:val="21"/>
            </w:rPr>
            <w:fldChar w:fldCharType="end"/>
          </w:r>
        </w:p>
        <w:p>
          <w:pPr>
            <w:pStyle w:val="44"/>
            <w:tabs>
              <w:tab w:val="right" w:leader="dot" w:pos="9750"/>
            </w:tabs>
            <w:rPr>
              <w:b/>
              <w:sz w:val="21"/>
              <w:szCs w:val="21"/>
            </w:rPr>
          </w:pPr>
          <w:r>
            <w:fldChar w:fldCharType="begin"/>
          </w:r>
          <w:r>
            <w:instrText xml:space="preserve"> HYPERLINK \l "_Toc13640" </w:instrText>
          </w:r>
          <w:r>
            <w:fldChar w:fldCharType="separate"/>
          </w:r>
          <w:r>
            <w:rPr>
              <w:rFonts w:hint="eastAsia" w:ascii="宋体" w:hAnsi="宋体" w:eastAsia="宋体" w:cs="宋体"/>
              <w:b/>
              <w:sz w:val="21"/>
              <w:szCs w:val="21"/>
            </w:rPr>
            <w:t>第四部分　合同书格式</w:t>
          </w:r>
          <w:r>
            <w:rPr>
              <w:b/>
              <w:sz w:val="21"/>
              <w:szCs w:val="21"/>
            </w:rPr>
            <w:tab/>
          </w:r>
          <w:r>
            <w:rPr>
              <w:b/>
              <w:sz w:val="21"/>
              <w:szCs w:val="21"/>
            </w:rPr>
            <w:fldChar w:fldCharType="begin"/>
          </w:r>
          <w:r>
            <w:rPr>
              <w:b/>
              <w:sz w:val="21"/>
              <w:szCs w:val="21"/>
            </w:rPr>
            <w:instrText xml:space="preserve"> PAGEREF _Toc13640 \h </w:instrText>
          </w:r>
          <w:r>
            <w:rPr>
              <w:b/>
              <w:sz w:val="21"/>
              <w:szCs w:val="21"/>
            </w:rPr>
            <w:fldChar w:fldCharType="separate"/>
          </w:r>
          <w:r>
            <w:rPr>
              <w:b/>
              <w:sz w:val="21"/>
              <w:szCs w:val="21"/>
            </w:rPr>
            <w:t>32</w:t>
          </w:r>
          <w:r>
            <w:rPr>
              <w:b/>
              <w:sz w:val="21"/>
              <w:szCs w:val="21"/>
            </w:rPr>
            <w:fldChar w:fldCharType="end"/>
          </w:r>
          <w:r>
            <w:rPr>
              <w:b/>
              <w:sz w:val="21"/>
              <w:szCs w:val="21"/>
            </w:rPr>
            <w:fldChar w:fldCharType="end"/>
          </w:r>
        </w:p>
        <w:p>
          <w:pPr>
            <w:pStyle w:val="44"/>
            <w:tabs>
              <w:tab w:val="right" w:leader="dot" w:pos="9750"/>
            </w:tabs>
            <w:rPr>
              <w:b/>
              <w:sz w:val="21"/>
              <w:szCs w:val="21"/>
            </w:rPr>
          </w:pPr>
          <w:r>
            <w:fldChar w:fldCharType="begin"/>
          </w:r>
          <w:r>
            <w:instrText xml:space="preserve"> HYPERLINK \l "_Toc29743" </w:instrText>
          </w:r>
          <w:r>
            <w:fldChar w:fldCharType="separate"/>
          </w:r>
          <w:r>
            <w:rPr>
              <w:rFonts w:hint="eastAsia" w:ascii="宋体" w:hAnsi="宋体" w:eastAsia="宋体" w:cs="宋体"/>
              <w:b/>
              <w:bCs/>
              <w:sz w:val="21"/>
              <w:szCs w:val="21"/>
            </w:rPr>
            <w:t>第五部分</w:t>
          </w:r>
          <w:r>
            <w:rPr>
              <w:rFonts w:ascii="宋体" w:hAnsi="宋体" w:eastAsia="宋体" w:cs="宋体"/>
              <w:b/>
              <w:bCs/>
              <w:sz w:val="21"/>
              <w:szCs w:val="21"/>
            </w:rPr>
            <w:t xml:space="preserve">   </w:t>
          </w:r>
          <w:r>
            <w:rPr>
              <w:rFonts w:hint="eastAsia" w:ascii="宋体" w:hAnsi="宋体" w:eastAsia="宋体" w:cs="宋体"/>
              <w:b/>
              <w:bCs/>
              <w:sz w:val="21"/>
              <w:szCs w:val="21"/>
            </w:rPr>
            <w:t>响应文件格式</w:t>
          </w:r>
          <w:r>
            <w:rPr>
              <w:b/>
              <w:sz w:val="21"/>
              <w:szCs w:val="21"/>
            </w:rPr>
            <w:tab/>
          </w:r>
          <w:r>
            <w:rPr>
              <w:b/>
              <w:sz w:val="21"/>
              <w:szCs w:val="21"/>
            </w:rPr>
            <w:fldChar w:fldCharType="begin"/>
          </w:r>
          <w:r>
            <w:rPr>
              <w:b/>
              <w:sz w:val="21"/>
              <w:szCs w:val="21"/>
            </w:rPr>
            <w:instrText xml:space="preserve"> PAGEREF _Toc29743 \h </w:instrText>
          </w:r>
          <w:r>
            <w:rPr>
              <w:b/>
              <w:sz w:val="21"/>
              <w:szCs w:val="21"/>
            </w:rPr>
            <w:fldChar w:fldCharType="separate"/>
          </w:r>
          <w:r>
            <w:rPr>
              <w:b/>
              <w:sz w:val="21"/>
              <w:szCs w:val="21"/>
            </w:rPr>
            <w:t>94</w:t>
          </w:r>
          <w:r>
            <w:rPr>
              <w:b/>
              <w:sz w:val="21"/>
              <w:szCs w:val="21"/>
            </w:rPr>
            <w:fldChar w:fldCharType="end"/>
          </w:r>
          <w:r>
            <w:rPr>
              <w:b/>
              <w:sz w:val="21"/>
              <w:szCs w:val="21"/>
            </w:rPr>
            <w:fldChar w:fldCharType="end"/>
          </w:r>
        </w:p>
        <w:p>
          <w:pPr>
            <w:pStyle w:val="45"/>
            <w:tabs>
              <w:tab w:val="right" w:leader="dot" w:pos="9750"/>
            </w:tabs>
            <w:ind w:left="440"/>
            <w:rPr>
              <w:sz w:val="21"/>
              <w:szCs w:val="21"/>
            </w:rPr>
          </w:pPr>
          <w:r>
            <w:fldChar w:fldCharType="begin"/>
          </w:r>
          <w:r>
            <w:instrText xml:space="preserve"> HYPERLINK \l "_Toc23971" </w:instrText>
          </w:r>
          <w:r>
            <w:fldChar w:fldCharType="separate"/>
          </w:r>
          <w:r>
            <w:rPr>
              <w:rFonts w:hint="eastAsia" w:ascii="宋体" w:hAnsi="宋体" w:eastAsia="宋体" w:cs="宋体"/>
              <w:sz w:val="21"/>
              <w:szCs w:val="21"/>
            </w:rPr>
            <w:t>一、自查表</w:t>
          </w:r>
          <w:r>
            <w:rPr>
              <w:sz w:val="21"/>
              <w:szCs w:val="21"/>
            </w:rPr>
            <w:tab/>
          </w:r>
          <w:r>
            <w:rPr>
              <w:sz w:val="21"/>
              <w:szCs w:val="21"/>
            </w:rPr>
            <w:fldChar w:fldCharType="begin"/>
          </w:r>
          <w:r>
            <w:rPr>
              <w:sz w:val="21"/>
              <w:szCs w:val="21"/>
            </w:rPr>
            <w:instrText xml:space="preserve"> PAGEREF _Toc23971 \h </w:instrText>
          </w:r>
          <w:r>
            <w:rPr>
              <w:sz w:val="21"/>
              <w:szCs w:val="21"/>
            </w:rPr>
            <w:fldChar w:fldCharType="separate"/>
          </w:r>
          <w:r>
            <w:rPr>
              <w:sz w:val="21"/>
              <w:szCs w:val="21"/>
            </w:rPr>
            <w:t>96</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"_Toc23491" </w:instrText>
          </w:r>
          <w:r>
            <w:fldChar w:fldCharType="separate"/>
          </w:r>
          <w:r>
            <w:rPr>
              <w:rFonts w:hint="eastAsia" w:ascii="宋体" w:hAnsi="宋体" w:eastAsia="宋体" w:cs="宋体"/>
              <w:sz w:val="21"/>
              <w:szCs w:val="21"/>
            </w:rPr>
            <w:t>二、资格性文件</w:t>
          </w:r>
          <w:r>
            <w:rPr>
              <w:sz w:val="21"/>
              <w:szCs w:val="21"/>
            </w:rPr>
            <w:tab/>
          </w:r>
          <w:r>
            <w:rPr>
              <w:sz w:val="21"/>
              <w:szCs w:val="21"/>
            </w:rPr>
            <w:fldChar w:fldCharType="begin"/>
          </w:r>
          <w:r>
            <w:rPr>
              <w:sz w:val="21"/>
              <w:szCs w:val="21"/>
            </w:rPr>
            <w:instrText xml:space="preserve"> PAGEREF _Toc23491 \h </w:instrText>
          </w:r>
          <w:r>
            <w:rPr>
              <w:sz w:val="21"/>
              <w:szCs w:val="21"/>
            </w:rPr>
            <w:fldChar w:fldCharType="separate"/>
          </w:r>
          <w:r>
            <w:rPr>
              <w:sz w:val="21"/>
              <w:szCs w:val="21"/>
            </w:rPr>
            <w:t>99</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"_Toc25480" </w:instrText>
          </w:r>
          <w:r>
            <w:fldChar w:fldCharType="separate"/>
          </w:r>
          <w:r>
            <w:rPr>
              <w:rFonts w:hint="eastAsia" w:ascii="宋体" w:hAnsi="宋体" w:eastAsia="宋体" w:cs="宋体"/>
              <w:sz w:val="21"/>
              <w:szCs w:val="21"/>
            </w:rPr>
            <w:t>三、商务部分</w:t>
          </w:r>
          <w:r>
            <w:rPr>
              <w:sz w:val="21"/>
              <w:szCs w:val="21"/>
            </w:rPr>
            <w:tab/>
          </w:r>
          <w:r>
            <w:rPr>
              <w:sz w:val="21"/>
              <w:szCs w:val="21"/>
            </w:rPr>
            <w:fldChar w:fldCharType="begin"/>
          </w:r>
          <w:r>
            <w:rPr>
              <w:sz w:val="21"/>
              <w:szCs w:val="21"/>
            </w:rPr>
            <w:instrText xml:space="preserve"> PAGEREF _Toc25480 \h </w:instrText>
          </w:r>
          <w:r>
            <w:rPr>
              <w:sz w:val="21"/>
              <w:szCs w:val="21"/>
            </w:rPr>
            <w:fldChar w:fldCharType="separate"/>
          </w:r>
          <w:r>
            <w:rPr>
              <w:sz w:val="21"/>
              <w:szCs w:val="21"/>
            </w:rPr>
            <w:t>111</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"_Toc14144" </w:instrText>
          </w:r>
          <w:r>
            <w:fldChar w:fldCharType="separate"/>
          </w:r>
          <w:r>
            <w:rPr>
              <w:rFonts w:hint="eastAsia" w:ascii="宋体" w:hAnsi="宋体" w:eastAsia="宋体" w:cs="宋体"/>
              <w:sz w:val="21"/>
              <w:szCs w:val="21"/>
            </w:rPr>
            <w:t>四、技术部分</w:t>
          </w:r>
          <w:r>
            <w:rPr>
              <w:sz w:val="21"/>
              <w:szCs w:val="21"/>
            </w:rPr>
            <w:tab/>
          </w:r>
          <w:r>
            <w:rPr>
              <w:sz w:val="21"/>
              <w:szCs w:val="21"/>
            </w:rPr>
            <w:fldChar w:fldCharType="begin"/>
          </w:r>
          <w:r>
            <w:rPr>
              <w:sz w:val="21"/>
              <w:szCs w:val="21"/>
            </w:rPr>
            <w:instrText xml:space="preserve"> PAGEREF _Toc14144 \h </w:instrText>
          </w:r>
          <w:r>
            <w:rPr>
              <w:sz w:val="21"/>
              <w:szCs w:val="21"/>
            </w:rPr>
            <w:fldChar w:fldCharType="separate"/>
          </w:r>
          <w:r>
            <w:rPr>
              <w:sz w:val="21"/>
              <w:szCs w:val="21"/>
            </w:rPr>
            <w:t>116</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"_Toc1625" </w:instrText>
          </w:r>
          <w:r>
            <w:fldChar w:fldCharType="separate"/>
          </w:r>
          <w:r>
            <w:rPr>
              <w:rFonts w:hint="eastAsia" w:ascii="宋体" w:hAnsi="宋体" w:eastAsia="宋体" w:cs="宋体"/>
              <w:sz w:val="21"/>
              <w:szCs w:val="21"/>
            </w:rPr>
            <w:t>五、价格部分</w:t>
          </w:r>
          <w:r>
            <w:rPr>
              <w:sz w:val="21"/>
              <w:szCs w:val="21"/>
            </w:rPr>
            <w:tab/>
          </w:r>
          <w:r>
            <w:rPr>
              <w:sz w:val="21"/>
              <w:szCs w:val="21"/>
            </w:rPr>
            <w:fldChar w:fldCharType="begin"/>
          </w:r>
          <w:r>
            <w:rPr>
              <w:sz w:val="21"/>
              <w:szCs w:val="21"/>
            </w:rPr>
            <w:instrText xml:space="preserve"> PAGEREF _Toc1625 \h </w:instrText>
          </w:r>
          <w:r>
            <w:rPr>
              <w:sz w:val="21"/>
              <w:szCs w:val="21"/>
            </w:rPr>
            <w:fldChar w:fldCharType="separate"/>
          </w:r>
          <w:r>
            <w:rPr>
              <w:sz w:val="21"/>
              <w:szCs w:val="21"/>
            </w:rPr>
            <w:t>118</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"_Toc22031" </w:instrText>
          </w:r>
          <w:r>
            <w:fldChar w:fldCharType="separate"/>
          </w:r>
          <w:r>
            <w:rPr>
              <w:rFonts w:hint="eastAsia" w:ascii="宋体" w:hAnsi="宋体" w:eastAsia="宋体" w:cs="宋体"/>
              <w:sz w:val="21"/>
              <w:szCs w:val="21"/>
            </w:rPr>
            <w:t>附件</w:t>
          </w:r>
          <w:r>
            <w:rPr>
              <w:rFonts w:ascii="宋体" w:hAnsi="宋体" w:eastAsia="宋体" w:cs="宋体"/>
              <w:sz w:val="21"/>
              <w:szCs w:val="21"/>
            </w:rPr>
            <w:t xml:space="preserve"> 1：中小企业声明函</w:t>
          </w:r>
          <w:r>
            <w:rPr>
              <w:sz w:val="21"/>
              <w:szCs w:val="21"/>
            </w:rPr>
            <w:tab/>
          </w:r>
          <w:r>
            <w:rPr>
              <w:sz w:val="21"/>
              <w:szCs w:val="21"/>
            </w:rPr>
            <w:fldChar w:fldCharType="begin"/>
          </w:r>
          <w:r>
            <w:rPr>
              <w:sz w:val="21"/>
              <w:szCs w:val="21"/>
            </w:rPr>
            <w:instrText xml:space="preserve"> PAGEREF _Toc22031 \h </w:instrText>
          </w:r>
          <w:r>
            <w:rPr>
              <w:sz w:val="21"/>
              <w:szCs w:val="21"/>
            </w:rPr>
            <w:fldChar w:fldCharType="separate"/>
          </w:r>
          <w:r>
            <w:rPr>
              <w:sz w:val="21"/>
              <w:szCs w:val="21"/>
            </w:rPr>
            <w:t>120</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"_Toc2088" </w:instrText>
          </w:r>
          <w:r>
            <w:fldChar w:fldCharType="separate"/>
          </w:r>
          <w:r>
            <w:rPr>
              <w:rFonts w:hint="eastAsia" w:ascii="宋体" w:hAnsi="宋体" w:eastAsia="宋体" w:cs="宋体"/>
              <w:sz w:val="21"/>
              <w:szCs w:val="21"/>
            </w:rPr>
            <w:t>附件</w:t>
          </w:r>
          <w:r>
            <w:rPr>
              <w:rFonts w:ascii="宋体" w:hAnsi="宋体" w:eastAsia="宋体" w:cs="宋体"/>
              <w:sz w:val="21"/>
              <w:szCs w:val="21"/>
            </w:rPr>
            <w:t xml:space="preserve"> 2：残疾人福利性单位声明函</w:t>
          </w:r>
          <w:r>
            <w:rPr>
              <w:sz w:val="21"/>
              <w:szCs w:val="21"/>
            </w:rPr>
            <w:tab/>
          </w:r>
          <w:r>
            <w:rPr>
              <w:sz w:val="21"/>
              <w:szCs w:val="21"/>
            </w:rPr>
            <w:fldChar w:fldCharType="begin"/>
          </w:r>
          <w:r>
            <w:rPr>
              <w:sz w:val="21"/>
              <w:szCs w:val="21"/>
            </w:rPr>
            <w:instrText xml:space="preserve"> PAGEREF _Toc2088 \h </w:instrText>
          </w:r>
          <w:r>
            <w:rPr>
              <w:sz w:val="21"/>
              <w:szCs w:val="21"/>
            </w:rPr>
            <w:fldChar w:fldCharType="separate"/>
          </w:r>
          <w:r>
            <w:rPr>
              <w:sz w:val="21"/>
              <w:szCs w:val="21"/>
            </w:rPr>
            <w:t>121</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"_Toc28896" </w:instrText>
          </w:r>
          <w:r>
            <w:fldChar w:fldCharType="separate"/>
          </w:r>
          <w:r>
            <w:rPr>
              <w:rFonts w:hint="eastAsia" w:ascii="宋体" w:hAnsi="宋体" w:eastAsia="宋体" w:cs="宋体"/>
              <w:sz w:val="21"/>
              <w:szCs w:val="21"/>
            </w:rPr>
            <w:t>附件</w:t>
          </w:r>
          <w:r>
            <w:rPr>
              <w:rFonts w:ascii="宋体" w:hAnsi="宋体" w:eastAsia="宋体" w:cs="宋体"/>
              <w:sz w:val="21"/>
              <w:szCs w:val="21"/>
            </w:rPr>
            <w:t xml:space="preserve"> 3：监狱企业声明函</w:t>
          </w:r>
          <w:r>
            <w:rPr>
              <w:sz w:val="21"/>
              <w:szCs w:val="21"/>
            </w:rPr>
            <w:tab/>
          </w:r>
          <w:r>
            <w:rPr>
              <w:sz w:val="21"/>
              <w:szCs w:val="21"/>
            </w:rPr>
            <w:fldChar w:fldCharType="begin"/>
          </w:r>
          <w:r>
            <w:rPr>
              <w:sz w:val="21"/>
              <w:szCs w:val="21"/>
            </w:rPr>
            <w:instrText xml:space="preserve"> PAGEREF _Toc28896 \h </w:instrText>
          </w:r>
          <w:r>
            <w:rPr>
              <w:sz w:val="21"/>
              <w:szCs w:val="21"/>
            </w:rPr>
            <w:fldChar w:fldCharType="separate"/>
          </w:r>
          <w:r>
            <w:rPr>
              <w:sz w:val="21"/>
              <w:szCs w:val="21"/>
            </w:rPr>
            <w:t>122</w:t>
          </w:r>
          <w:r>
            <w:rPr>
              <w:sz w:val="21"/>
              <w:szCs w:val="21"/>
            </w:rPr>
            <w:fldChar w:fldCharType="end"/>
          </w:r>
          <w:r>
            <w:rPr>
              <w:sz w:val="21"/>
              <w:szCs w:val="21"/>
            </w:rPr>
            <w:fldChar w:fldCharType="end"/>
          </w:r>
        </w:p>
        <w:p>
          <w:pPr>
            <w:pStyle w:val="45"/>
            <w:tabs>
              <w:tab w:val="right" w:leader="dot" w:pos="9750"/>
            </w:tabs>
            <w:ind w:left="440"/>
            <w:rPr>
              <w:sz w:val="21"/>
              <w:szCs w:val="21"/>
            </w:rPr>
          </w:pPr>
          <w:r>
            <w:fldChar w:fldCharType="begin"/>
          </w:r>
          <w:r>
            <w:instrText xml:space="preserve"> HYPERLINK \l "_Toc8777" </w:instrText>
          </w:r>
          <w:r>
            <w:fldChar w:fldCharType="separate"/>
          </w:r>
          <w:r>
            <w:rPr>
              <w:rFonts w:hint="eastAsia" w:ascii="宋体" w:hAnsi="宋体" w:eastAsia="宋体" w:cs="宋体"/>
              <w:sz w:val="21"/>
              <w:szCs w:val="21"/>
            </w:rPr>
            <w:t>附件</w:t>
          </w:r>
          <w:r>
            <w:rPr>
              <w:rFonts w:ascii="宋体" w:hAnsi="宋体" w:eastAsia="宋体" w:cs="宋体"/>
              <w:sz w:val="21"/>
              <w:szCs w:val="21"/>
            </w:rPr>
            <w:t xml:space="preserve"> </w:t>
          </w:r>
          <w:r>
            <w:rPr>
              <w:rFonts w:cs="宋体"/>
              <w:sz w:val="21"/>
              <w:szCs w:val="21"/>
            </w:rPr>
            <w:t>4</w:t>
          </w:r>
          <w:r>
            <w:rPr>
              <w:rFonts w:hint="eastAsia" w:ascii="宋体" w:hAnsi="宋体" w:eastAsia="宋体" w:cs="宋体"/>
              <w:sz w:val="21"/>
              <w:szCs w:val="21"/>
            </w:rPr>
            <w:t>：采购供应商资格信用承诺函</w:t>
          </w:r>
          <w:r>
            <w:rPr>
              <w:sz w:val="21"/>
              <w:szCs w:val="21"/>
            </w:rPr>
            <w:tab/>
          </w:r>
          <w:r>
            <w:rPr>
              <w:sz w:val="21"/>
              <w:szCs w:val="21"/>
            </w:rPr>
            <w:fldChar w:fldCharType="begin"/>
          </w:r>
          <w:r>
            <w:rPr>
              <w:sz w:val="21"/>
              <w:szCs w:val="21"/>
            </w:rPr>
            <w:instrText xml:space="preserve"> PAGEREF _Toc8777 \h </w:instrText>
          </w:r>
          <w:r>
            <w:rPr>
              <w:sz w:val="21"/>
              <w:szCs w:val="21"/>
            </w:rPr>
            <w:fldChar w:fldCharType="separate"/>
          </w:r>
          <w:r>
            <w:rPr>
              <w:sz w:val="21"/>
              <w:szCs w:val="21"/>
            </w:rPr>
            <w:t>123</w:t>
          </w:r>
          <w:r>
            <w:rPr>
              <w:sz w:val="21"/>
              <w:szCs w:val="21"/>
            </w:rPr>
            <w:fldChar w:fldCharType="end"/>
          </w:r>
          <w:r>
            <w:rPr>
              <w:sz w:val="21"/>
              <w:szCs w:val="21"/>
            </w:rPr>
            <w:fldChar w:fldCharType="end"/>
          </w:r>
        </w:p>
        <w:p>
          <w:pPr>
            <w:pStyle w:val="45"/>
            <w:tabs>
              <w:tab w:val="right" w:leader="dot" w:pos="9750"/>
            </w:tabs>
            <w:ind w:left="440"/>
          </w:pPr>
          <w:r>
            <w:fldChar w:fldCharType="begin"/>
          </w:r>
          <w:r>
            <w:instrText xml:space="preserve"> HYPERLINK \l "_Toc574" </w:instrText>
          </w:r>
          <w:r>
            <w:fldChar w:fldCharType="separate"/>
          </w:r>
          <w:r>
            <w:rPr>
              <w:rFonts w:hint="eastAsia" w:ascii="宋体" w:hAnsi="宋体" w:eastAsia="宋体" w:cs="宋体"/>
              <w:sz w:val="21"/>
              <w:szCs w:val="21"/>
            </w:rPr>
            <w:t>附件</w:t>
          </w:r>
          <w:r>
            <w:rPr>
              <w:rFonts w:ascii="宋体" w:hAnsi="宋体" w:eastAsia="宋体" w:cs="宋体"/>
              <w:sz w:val="21"/>
              <w:szCs w:val="21"/>
            </w:rPr>
            <w:t xml:space="preserve"> </w:t>
          </w:r>
          <w:r>
            <w:rPr>
              <w:rFonts w:cs="宋体"/>
              <w:sz w:val="21"/>
              <w:szCs w:val="21"/>
            </w:rPr>
            <w:t>5</w:t>
          </w:r>
          <w:r>
            <w:rPr>
              <w:rFonts w:hint="eastAsia" w:ascii="宋体" w:hAnsi="宋体" w:eastAsia="宋体" w:cs="宋体"/>
              <w:sz w:val="21"/>
              <w:szCs w:val="21"/>
            </w:rPr>
            <w:t>：放弃磋商说明书（如有）</w:t>
          </w:r>
          <w:r>
            <w:rPr>
              <w:sz w:val="21"/>
              <w:szCs w:val="21"/>
            </w:rPr>
            <w:tab/>
          </w:r>
          <w:r>
            <w:rPr>
              <w:sz w:val="21"/>
              <w:szCs w:val="21"/>
            </w:rPr>
            <w:fldChar w:fldCharType="begin"/>
          </w:r>
          <w:r>
            <w:rPr>
              <w:sz w:val="21"/>
              <w:szCs w:val="21"/>
            </w:rPr>
            <w:instrText xml:space="preserve"> PAGEREF _Toc574 \h </w:instrText>
          </w:r>
          <w:r>
            <w:rPr>
              <w:sz w:val="21"/>
              <w:szCs w:val="21"/>
            </w:rPr>
            <w:fldChar w:fldCharType="separate"/>
          </w:r>
          <w:r>
            <w:rPr>
              <w:sz w:val="21"/>
              <w:szCs w:val="21"/>
            </w:rPr>
            <w:t>124</w:t>
          </w:r>
          <w:r>
            <w:rPr>
              <w:sz w:val="21"/>
              <w:szCs w:val="21"/>
            </w:rPr>
            <w:fldChar w:fldCharType="end"/>
          </w:r>
          <w:r>
            <w:rPr>
              <w:sz w:val="21"/>
              <w:szCs w:val="21"/>
            </w:rPr>
            <w:fldChar w:fldCharType="end"/>
          </w:r>
        </w:p>
        <w:p>
          <w:pPr>
            <w:rPr>
              <w:b/>
            </w:rPr>
            <w:sectPr>
              <w:footerReference r:id="rId3" w:type="default"/>
              <w:pgSz w:w="11910" w:h="16840"/>
              <w:pgMar w:top="1440" w:right="1080" w:bottom="1440" w:left="1080" w:header="945" w:footer="893" w:gutter="0"/>
              <w:pgNumType w:start="1"/>
              <w:cols w:space="720" w:num="1"/>
            </w:sectPr>
          </w:pPr>
          <w:r>
            <w:rPr>
              <w:b/>
            </w:rPr>
            <w:fldChar w:fldCharType="end"/>
          </w:r>
        </w:p>
      </w:sdtContent>
    </w:sdt>
    <w:p>
      <w:pPr>
        <w:pStyle w:val="2"/>
        <w:ind w:firstLine="1044"/>
        <w:rPr>
          <w:b/>
          <w:bCs/>
          <w:sz w:val="52"/>
          <w:szCs w:val="52"/>
        </w:rPr>
      </w:pPr>
      <w:bookmarkStart w:id="2" w:name="_Toc11833"/>
    </w:p>
    <w:p>
      <w:pPr>
        <w:rPr>
          <w:b/>
          <w:bCs/>
          <w:sz w:val="52"/>
          <w:szCs w:val="52"/>
        </w:rPr>
      </w:pPr>
    </w:p>
    <w:p>
      <w:pPr>
        <w:pStyle w:val="2"/>
        <w:ind w:firstLine="1044"/>
        <w:rPr>
          <w:b/>
          <w:bCs/>
          <w:sz w:val="52"/>
          <w:szCs w:val="52"/>
        </w:rPr>
      </w:pPr>
    </w:p>
    <w:p>
      <w:pPr>
        <w:rPr>
          <w:b/>
          <w:bCs/>
          <w:sz w:val="52"/>
          <w:szCs w:val="52"/>
        </w:rPr>
      </w:pPr>
    </w:p>
    <w:p>
      <w:pPr>
        <w:pStyle w:val="2"/>
        <w:ind w:firstLine="440"/>
      </w:pPr>
    </w:p>
    <w:p>
      <w:pPr>
        <w:jc w:val="center"/>
        <w:outlineLvl w:val="0"/>
        <w:rPr>
          <w:b/>
          <w:bCs/>
          <w:sz w:val="52"/>
          <w:szCs w:val="52"/>
        </w:rPr>
      </w:pPr>
      <w:bookmarkStart w:id="3" w:name="_Toc4090"/>
      <w:r>
        <w:rPr>
          <w:rFonts w:hint="eastAsia"/>
          <w:b/>
          <w:bCs/>
          <w:sz w:val="52"/>
          <w:szCs w:val="52"/>
        </w:rPr>
        <w:t>第一部分</w:t>
      </w:r>
      <w:r>
        <w:rPr>
          <w:b/>
          <w:bCs/>
          <w:sz w:val="52"/>
          <w:szCs w:val="52"/>
          <w:lang w:val="en-US"/>
        </w:rPr>
        <w:t xml:space="preserve">  </w:t>
      </w:r>
      <w:r>
        <w:rPr>
          <w:rFonts w:hint="eastAsia"/>
          <w:b/>
          <w:bCs/>
          <w:sz w:val="52"/>
          <w:szCs w:val="52"/>
        </w:rPr>
        <w:t>磋商邀请函</w:t>
      </w:r>
      <w:bookmarkEnd w:id="1"/>
      <w:bookmarkEnd w:id="2"/>
      <w:bookmarkEnd w:id="3"/>
    </w:p>
    <w:p>
      <w:pPr>
        <w:sectPr>
          <w:pgSz w:w="11910" w:h="16840"/>
          <w:pgMar w:top="1440" w:right="1080" w:bottom="1440" w:left="1080" w:header="945" w:footer="893" w:gutter="0"/>
          <w:cols w:space="720" w:num="1"/>
        </w:sectPr>
      </w:pPr>
    </w:p>
    <w:p>
      <w:pPr>
        <w:adjustRightInd w:val="0"/>
        <w:snapToGrid w:val="0"/>
        <w:spacing w:before="55" w:after="60" w:afterLines="25" w:line="500" w:lineRule="exact"/>
        <w:ind w:right="1279" w:firstLine="491"/>
        <w:jc w:val="center"/>
        <w:rPr>
          <w:b/>
          <w:sz w:val="28"/>
          <w:szCs w:val="28"/>
        </w:rPr>
      </w:pPr>
      <w:bookmarkStart w:id="4" w:name="_Toc6957_WPSOffice_Level2"/>
      <w:r>
        <w:rPr>
          <w:rFonts w:hint="eastAsia"/>
          <w:b/>
          <w:sz w:val="28"/>
          <w:szCs w:val="28"/>
        </w:rPr>
        <w:t>磋商邀请</w:t>
      </w:r>
      <w:bookmarkEnd w:id="4"/>
    </w:p>
    <w:tbl>
      <w:tblPr>
        <w:tblStyle w:val="19"/>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9620" w:type="dxa"/>
            <w:vAlign w:val="center"/>
          </w:tcPr>
          <w:p>
            <w:pPr>
              <w:pStyle w:val="8"/>
              <w:adjustRightInd w:val="0"/>
              <w:snapToGrid w:val="0"/>
              <w:spacing w:line="500" w:lineRule="exact"/>
              <w:jc w:val="center"/>
              <w:rPr>
                <w:b/>
                <w:bCs/>
              </w:rPr>
            </w:pPr>
            <w:r>
              <w:rPr>
                <w:rFonts w:hint="eastAsia"/>
                <w:b/>
                <w:bCs/>
              </w:rPr>
              <w:t>项目概况</w:t>
            </w:r>
          </w:p>
          <w:p>
            <w:pPr>
              <w:adjustRightInd w:val="0"/>
              <w:snapToGrid w:val="0"/>
              <w:spacing w:after="60" w:afterLines="25" w:line="500" w:lineRule="exact"/>
              <w:ind w:firstLine="420" w:firstLineChars="200"/>
              <w:jc w:val="left"/>
            </w:pPr>
            <w:r>
              <w:rPr>
                <w:rFonts w:hint="eastAsia"/>
                <w:sz w:val="21"/>
                <w:szCs w:val="21"/>
              </w:rPr>
              <w:t>乐平镇工业园区三丫涌桥工程采购项目的潜在供应商应在佛山市三水区</w:t>
            </w:r>
            <w:r>
              <w:rPr>
                <w:rFonts w:hint="eastAsia"/>
                <w:sz w:val="21"/>
                <w:szCs w:val="21"/>
                <w:lang w:val="en-US"/>
              </w:rPr>
              <w:t>云东海</w:t>
            </w:r>
            <w:r>
              <w:rPr>
                <w:rFonts w:hint="eastAsia"/>
                <w:sz w:val="21"/>
                <w:szCs w:val="21"/>
              </w:rPr>
              <w:t>街道</w:t>
            </w:r>
            <w:r>
              <w:rPr>
                <w:rFonts w:hint="eastAsia"/>
                <w:sz w:val="21"/>
                <w:szCs w:val="21"/>
                <w:lang w:val="en-US"/>
              </w:rPr>
              <w:t>鲁村路</w:t>
            </w:r>
            <w:r>
              <w:rPr>
                <w:sz w:val="21"/>
                <w:szCs w:val="21"/>
                <w:lang w:val="en-US"/>
              </w:rPr>
              <w:t>12号文都汇T4栋4F</w:t>
            </w:r>
            <w:r>
              <w:rPr>
                <w:rFonts w:hint="eastAsia"/>
                <w:sz w:val="21"/>
                <w:szCs w:val="21"/>
              </w:rPr>
              <w:t>获取磋商文件，并于</w:t>
            </w:r>
            <w:r>
              <w:rPr>
                <w:sz w:val="21"/>
                <w:szCs w:val="21"/>
              </w:rPr>
              <w:t>202</w:t>
            </w:r>
            <w:r>
              <w:rPr>
                <w:rFonts w:hint="eastAsia"/>
                <w:sz w:val="21"/>
                <w:szCs w:val="21"/>
                <w:lang w:val="en-US"/>
              </w:rPr>
              <w:t>4</w:t>
            </w:r>
            <w:r>
              <w:rPr>
                <w:sz w:val="21"/>
                <w:szCs w:val="21"/>
              </w:rPr>
              <w:t>年</w:t>
            </w:r>
            <w:r>
              <w:rPr>
                <w:rFonts w:hint="eastAsia"/>
                <w:sz w:val="21"/>
                <w:szCs w:val="21"/>
                <w:u w:val="single"/>
                <w:lang w:val="en-US" w:eastAsia="zh-CN"/>
              </w:rPr>
              <w:t>2</w:t>
            </w:r>
            <w:r>
              <w:rPr>
                <w:rFonts w:hint="eastAsia"/>
                <w:sz w:val="21"/>
                <w:szCs w:val="21"/>
              </w:rPr>
              <w:t>月</w:t>
            </w:r>
            <w:r>
              <w:rPr>
                <w:rFonts w:hint="eastAsia"/>
                <w:sz w:val="21"/>
                <w:szCs w:val="21"/>
                <w:u w:val="single"/>
                <w:lang w:val="en-US" w:eastAsia="zh-CN"/>
              </w:rPr>
              <w:t>22</w:t>
            </w:r>
            <w:r>
              <w:rPr>
                <w:rFonts w:hint="eastAsia"/>
                <w:sz w:val="21"/>
                <w:szCs w:val="21"/>
              </w:rPr>
              <w:t>日</w:t>
            </w:r>
            <w:r>
              <w:rPr>
                <w:sz w:val="21"/>
                <w:szCs w:val="21"/>
                <w:lang w:val="en-US"/>
              </w:rPr>
              <w:t>10</w:t>
            </w:r>
            <w:r>
              <w:rPr>
                <w:rFonts w:hint="eastAsia"/>
                <w:sz w:val="21"/>
                <w:szCs w:val="21"/>
              </w:rPr>
              <w:t>时</w:t>
            </w:r>
            <w:r>
              <w:rPr>
                <w:sz w:val="21"/>
                <w:szCs w:val="21"/>
              </w:rPr>
              <w:t>00分（北京时间）前提交响应文件。</w:t>
            </w:r>
          </w:p>
        </w:tc>
      </w:tr>
    </w:tbl>
    <w:p>
      <w:pPr>
        <w:adjustRightInd w:val="0"/>
        <w:snapToGrid w:val="0"/>
        <w:spacing w:after="60" w:afterLines="25" w:line="500" w:lineRule="exact"/>
        <w:ind w:firstLine="422" w:firstLineChars="200"/>
        <w:outlineLvl w:val="1"/>
        <w:rPr>
          <w:b/>
          <w:bCs/>
          <w:sz w:val="21"/>
          <w:szCs w:val="21"/>
        </w:rPr>
      </w:pPr>
      <w:bookmarkStart w:id="5" w:name="_Toc2256"/>
      <w:bookmarkStart w:id="6" w:name="_Toc6957_WPSOffice_Level3"/>
      <w:bookmarkStart w:id="7" w:name="_Toc3448_WPSOffice_Level2"/>
      <w:r>
        <w:rPr>
          <w:rFonts w:hint="eastAsia"/>
          <w:b/>
          <w:bCs/>
          <w:sz w:val="21"/>
          <w:szCs w:val="21"/>
        </w:rPr>
        <w:t>一、项目基本情况</w:t>
      </w:r>
      <w:bookmarkEnd w:id="5"/>
    </w:p>
    <w:p>
      <w:pPr>
        <w:adjustRightInd w:val="0"/>
        <w:snapToGrid w:val="0"/>
        <w:spacing w:after="60" w:afterLines="25" w:line="500" w:lineRule="exact"/>
        <w:ind w:firstLine="420" w:firstLineChars="200"/>
        <w:rPr>
          <w:sz w:val="21"/>
          <w:szCs w:val="21"/>
          <w:lang w:val="en-US"/>
        </w:rPr>
      </w:pPr>
      <w:r>
        <w:rPr>
          <w:rFonts w:hint="eastAsia"/>
          <w:sz w:val="21"/>
          <w:szCs w:val="21"/>
        </w:rPr>
        <w:t>项目编号：</w:t>
      </w:r>
      <w:r>
        <w:rPr>
          <w:sz w:val="21"/>
          <w:szCs w:val="21"/>
        </w:rPr>
        <w:t>GDHY202402</w:t>
      </w:r>
    </w:p>
    <w:p>
      <w:pPr>
        <w:adjustRightInd w:val="0"/>
        <w:snapToGrid w:val="0"/>
        <w:spacing w:after="60" w:afterLines="25" w:line="500" w:lineRule="exact"/>
        <w:ind w:firstLine="420" w:firstLineChars="200"/>
        <w:rPr>
          <w:sz w:val="21"/>
          <w:szCs w:val="21"/>
        </w:rPr>
      </w:pPr>
      <w:r>
        <w:rPr>
          <w:rFonts w:hint="eastAsia"/>
          <w:sz w:val="21"/>
          <w:szCs w:val="21"/>
        </w:rPr>
        <w:t>项目名称：乐平镇工业园区三丫涌桥工程</w:t>
      </w:r>
    </w:p>
    <w:p>
      <w:pPr>
        <w:adjustRightInd w:val="0"/>
        <w:snapToGrid w:val="0"/>
        <w:spacing w:after="60" w:afterLines="25" w:line="500" w:lineRule="exact"/>
        <w:ind w:firstLine="420" w:firstLineChars="200"/>
        <w:rPr>
          <w:sz w:val="21"/>
          <w:szCs w:val="21"/>
        </w:rPr>
      </w:pPr>
      <w:r>
        <w:rPr>
          <w:rFonts w:hint="eastAsia"/>
          <w:sz w:val="21"/>
          <w:szCs w:val="21"/>
        </w:rPr>
        <w:t>采购方式：竞争性磋商</w:t>
      </w:r>
    </w:p>
    <w:p>
      <w:pPr>
        <w:adjustRightInd w:val="0"/>
        <w:snapToGrid w:val="0"/>
        <w:spacing w:after="60" w:afterLines="25" w:line="500" w:lineRule="exact"/>
        <w:ind w:firstLine="420" w:firstLineChars="200"/>
        <w:rPr>
          <w:sz w:val="21"/>
          <w:szCs w:val="21"/>
        </w:rPr>
      </w:pPr>
      <w:r>
        <w:rPr>
          <w:rFonts w:hint="eastAsia"/>
          <w:sz w:val="21"/>
          <w:szCs w:val="21"/>
        </w:rPr>
        <w:t>预算金额：</w:t>
      </w:r>
      <w:r>
        <w:rPr>
          <w:rFonts w:hint="eastAsia"/>
          <w:sz w:val="21"/>
          <w:szCs w:val="21"/>
          <w:lang w:val="en-US"/>
        </w:rPr>
        <w:t>人民币壹佰贰拾叁万壹仟肆佰捌拾壹元伍角玖分（¥1231481.59）</w:t>
      </w:r>
    </w:p>
    <w:p>
      <w:pPr>
        <w:adjustRightInd w:val="0"/>
        <w:snapToGrid w:val="0"/>
        <w:spacing w:after="60" w:afterLines="25" w:line="500" w:lineRule="exact"/>
        <w:ind w:firstLine="420" w:firstLineChars="200"/>
        <w:rPr>
          <w:sz w:val="21"/>
          <w:szCs w:val="21"/>
        </w:rPr>
      </w:pPr>
      <w:r>
        <w:rPr>
          <w:rFonts w:hint="eastAsia"/>
          <w:sz w:val="21"/>
          <w:szCs w:val="21"/>
        </w:rPr>
        <w:t>采购需求：</w:t>
      </w:r>
    </w:p>
    <w:tbl>
      <w:tblPr>
        <w:tblStyle w:val="19"/>
        <w:tblW w:w="9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1762"/>
        <w:gridCol w:w="2047"/>
        <w:gridCol w:w="1982"/>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946" w:type="dxa"/>
            <w:vAlign w:val="center"/>
          </w:tcPr>
          <w:p>
            <w:pPr>
              <w:widowControl/>
              <w:adjustRightInd w:val="0"/>
              <w:snapToGrid w:val="0"/>
              <w:spacing w:line="500" w:lineRule="exact"/>
              <w:jc w:val="center"/>
              <w:textAlignment w:val="center"/>
              <w:rPr>
                <w:sz w:val="21"/>
                <w:szCs w:val="21"/>
              </w:rPr>
            </w:pPr>
            <w:r>
              <w:rPr>
                <w:rFonts w:hint="eastAsia"/>
                <w:b/>
                <w:bCs/>
                <w:sz w:val="21"/>
                <w:szCs w:val="21"/>
                <w:lang w:val="en-US" w:bidi="ar"/>
              </w:rPr>
              <w:t>采购标的</w:t>
            </w:r>
          </w:p>
        </w:tc>
        <w:tc>
          <w:tcPr>
            <w:tcW w:w="1762" w:type="dxa"/>
            <w:vAlign w:val="center"/>
          </w:tcPr>
          <w:p>
            <w:pPr>
              <w:widowControl/>
              <w:adjustRightInd w:val="0"/>
              <w:snapToGrid w:val="0"/>
              <w:spacing w:line="500" w:lineRule="exact"/>
              <w:jc w:val="center"/>
              <w:textAlignment w:val="center"/>
              <w:rPr>
                <w:sz w:val="21"/>
                <w:szCs w:val="21"/>
              </w:rPr>
            </w:pPr>
            <w:r>
              <w:rPr>
                <w:rFonts w:hint="eastAsia"/>
                <w:b/>
                <w:bCs/>
                <w:sz w:val="21"/>
                <w:szCs w:val="21"/>
                <w:lang w:val="en-US" w:bidi="ar"/>
              </w:rPr>
              <w:t>数量（单位）</w:t>
            </w:r>
          </w:p>
        </w:tc>
        <w:tc>
          <w:tcPr>
            <w:tcW w:w="2047" w:type="dxa"/>
            <w:vAlign w:val="center"/>
          </w:tcPr>
          <w:p>
            <w:pPr>
              <w:widowControl/>
              <w:adjustRightInd w:val="0"/>
              <w:snapToGrid w:val="0"/>
              <w:spacing w:line="500" w:lineRule="exact"/>
              <w:jc w:val="center"/>
              <w:textAlignment w:val="center"/>
              <w:rPr>
                <w:sz w:val="21"/>
                <w:szCs w:val="21"/>
              </w:rPr>
            </w:pPr>
            <w:r>
              <w:rPr>
                <w:rFonts w:hint="eastAsia"/>
                <w:b/>
                <w:bCs/>
                <w:sz w:val="21"/>
                <w:szCs w:val="21"/>
                <w:lang w:val="en-US" w:bidi="ar"/>
              </w:rPr>
              <w:t>技术规格、参数及要求</w:t>
            </w:r>
          </w:p>
        </w:tc>
        <w:tc>
          <w:tcPr>
            <w:tcW w:w="1982" w:type="dxa"/>
            <w:vAlign w:val="center"/>
          </w:tcPr>
          <w:p>
            <w:pPr>
              <w:widowControl/>
              <w:adjustRightInd w:val="0"/>
              <w:snapToGrid w:val="0"/>
              <w:spacing w:line="500" w:lineRule="exact"/>
              <w:jc w:val="center"/>
              <w:textAlignment w:val="center"/>
              <w:rPr>
                <w:sz w:val="21"/>
                <w:szCs w:val="21"/>
              </w:rPr>
            </w:pPr>
            <w:r>
              <w:rPr>
                <w:rFonts w:hint="eastAsia"/>
                <w:b/>
                <w:bCs/>
                <w:sz w:val="21"/>
                <w:szCs w:val="21"/>
                <w:lang w:val="en-US" w:bidi="ar"/>
              </w:rPr>
              <w:t>品目预算</w:t>
            </w:r>
            <w:r>
              <w:rPr>
                <w:b/>
                <w:bCs/>
                <w:sz w:val="21"/>
                <w:szCs w:val="21"/>
                <w:lang w:val="en-US" w:bidi="ar"/>
              </w:rPr>
              <w:t>(元)</w:t>
            </w:r>
          </w:p>
        </w:tc>
        <w:tc>
          <w:tcPr>
            <w:tcW w:w="1860" w:type="dxa"/>
            <w:vAlign w:val="center"/>
          </w:tcPr>
          <w:p>
            <w:pPr>
              <w:widowControl/>
              <w:adjustRightInd w:val="0"/>
              <w:snapToGrid w:val="0"/>
              <w:spacing w:line="500" w:lineRule="exact"/>
              <w:jc w:val="center"/>
              <w:textAlignment w:val="center"/>
              <w:rPr>
                <w:sz w:val="21"/>
                <w:szCs w:val="21"/>
              </w:rPr>
            </w:pPr>
            <w:r>
              <w:rPr>
                <w:rFonts w:hint="eastAsia"/>
                <w:b/>
                <w:bCs/>
                <w:sz w:val="21"/>
                <w:szCs w:val="21"/>
                <w:lang w:val="en-US" w:bidi="ar"/>
              </w:rPr>
              <w:t>最高限价</w:t>
            </w:r>
            <w:r>
              <w:rPr>
                <w:b/>
                <w:bCs/>
                <w:sz w:val="21"/>
                <w:szCs w:val="21"/>
                <w:lang w:val="en-US"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946" w:type="dxa"/>
            <w:vAlign w:val="center"/>
          </w:tcPr>
          <w:p>
            <w:pPr>
              <w:widowControl/>
              <w:adjustRightInd w:val="0"/>
              <w:snapToGrid w:val="0"/>
              <w:spacing w:line="500" w:lineRule="exact"/>
              <w:jc w:val="center"/>
              <w:textAlignment w:val="center"/>
              <w:rPr>
                <w:sz w:val="21"/>
                <w:szCs w:val="21"/>
              </w:rPr>
            </w:pPr>
            <w:r>
              <w:rPr>
                <w:rFonts w:hint="eastAsia"/>
                <w:sz w:val="21"/>
                <w:szCs w:val="21"/>
                <w:lang w:val="en-US" w:bidi="ar"/>
              </w:rPr>
              <w:t>乐平镇工业园区三丫涌桥工程</w:t>
            </w:r>
          </w:p>
        </w:tc>
        <w:tc>
          <w:tcPr>
            <w:tcW w:w="1762" w:type="dxa"/>
            <w:vAlign w:val="center"/>
          </w:tcPr>
          <w:p>
            <w:pPr>
              <w:widowControl/>
              <w:adjustRightInd w:val="0"/>
              <w:snapToGrid w:val="0"/>
              <w:spacing w:line="500" w:lineRule="exact"/>
              <w:jc w:val="center"/>
              <w:textAlignment w:val="center"/>
              <w:rPr>
                <w:sz w:val="21"/>
                <w:szCs w:val="21"/>
              </w:rPr>
            </w:pPr>
            <w:r>
              <w:rPr>
                <w:sz w:val="21"/>
                <w:szCs w:val="21"/>
                <w:lang w:val="en-US" w:bidi="ar"/>
              </w:rPr>
              <w:t>1(项)</w:t>
            </w:r>
          </w:p>
        </w:tc>
        <w:tc>
          <w:tcPr>
            <w:tcW w:w="2047" w:type="dxa"/>
            <w:vAlign w:val="center"/>
          </w:tcPr>
          <w:p>
            <w:pPr>
              <w:widowControl/>
              <w:adjustRightInd w:val="0"/>
              <w:snapToGrid w:val="0"/>
              <w:spacing w:line="500" w:lineRule="exact"/>
              <w:jc w:val="center"/>
              <w:textAlignment w:val="center"/>
              <w:rPr>
                <w:sz w:val="21"/>
                <w:szCs w:val="21"/>
              </w:rPr>
            </w:pPr>
            <w:r>
              <w:rPr>
                <w:rFonts w:hint="eastAsia"/>
                <w:sz w:val="21"/>
                <w:szCs w:val="21"/>
                <w:lang w:val="en-US" w:bidi="ar"/>
              </w:rPr>
              <w:t>详见竞争性磋商文件</w:t>
            </w:r>
          </w:p>
        </w:tc>
        <w:tc>
          <w:tcPr>
            <w:tcW w:w="1982" w:type="dxa"/>
            <w:vAlign w:val="center"/>
          </w:tcPr>
          <w:p>
            <w:pPr>
              <w:widowControl/>
              <w:adjustRightInd w:val="0"/>
              <w:snapToGrid w:val="0"/>
              <w:spacing w:line="500" w:lineRule="exact"/>
              <w:jc w:val="center"/>
              <w:textAlignment w:val="center"/>
              <w:rPr>
                <w:sz w:val="21"/>
                <w:szCs w:val="21"/>
              </w:rPr>
            </w:pPr>
            <w:r>
              <w:rPr>
                <w:rFonts w:hint="eastAsia"/>
                <w:sz w:val="21"/>
                <w:szCs w:val="21"/>
                <w:lang w:val="en-US"/>
              </w:rPr>
              <w:t>1231481.59</w:t>
            </w:r>
          </w:p>
        </w:tc>
        <w:tc>
          <w:tcPr>
            <w:tcW w:w="1860" w:type="dxa"/>
            <w:vAlign w:val="center"/>
          </w:tcPr>
          <w:p>
            <w:pPr>
              <w:widowControl/>
              <w:adjustRightInd w:val="0"/>
              <w:snapToGrid w:val="0"/>
              <w:spacing w:line="500" w:lineRule="exact"/>
              <w:jc w:val="center"/>
              <w:textAlignment w:val="center"/>
              <w:rPr>
                <w:sz w:val="21"/>
                <w:szCs w:val="21"/>
              </w:rPr>
            </w:pPr>
            <w:r>
              <w:rPr>
                <w:rFonts w:hint="eastAsia"/>
                <w:sz w:val="21"/>
                <w:szCs w:val="21"/>
                <w:lang w:val="en-US"/>
              </w:rPr>
              <w:t>1231481.59</w:t>
            </w:r>
          </w:p>
        </w:tc>
      </w:tr>
      <w:bookmarkEnd w:id="6"/>
    </w:tbl>
    <w:p>
      <w:pPr>
        <w:adjustRightInd w:val="0"/>
        <w:snapToGrid w:val="0"/>
        <w:spacing w:after="60" w:afterLines="25" w:line="500" w:lineRule="exact"/>
        <w:ind w:firstLine="420" w:firstLineChars="200"/>
        <w:rPr>
          <w:sz w:val="21"/>
          <w:szCs w:val="21"/>
        </w:rPr>
      </w:pPr>
      <w:r>
        <w:rPr>
          <w:rFonts w:hint="eastAsia"/>
          <w:sz w:val="21"/>
          <w:szCs w:val="21"/>
        </w:rPr>
        <w:t>本合同包不接受联合体磋商、不允许分包或转包。</w:t>
      </w:r>
    </w:p>
    <w:p>
      <w:pPr>
        <w:adjustRightInd w:val="0"/>
        <w:snapToGrid w:val="0"/>
        <w:spacing w:after="60" w:afterLines="25" w:line="500" w:lineRule="exact"/>
        <w:ind w:firstLine="420" w:firstLineChars="200"/>
        <w:rPr>
          <w:lang w:val="en-US"/>
        </w:rPr>
      </w:pPr>
      <w:r>
        <w:rPr>
          <w:rFonts w:hint="eastAsia"/>
          <w:sz w:val="21"/>
          <w:szCs w:val="21"/>
        </w:rPr>
        <w:t>合同履行期限：自合同签订生效之日起</w:t>
      </w:r>
      <w:r>
        <w:rPr>
          <w:sz w:val="21"/>
          <w:szCs w:val="21"/>
          <w:lang w:val="en-US"/>
        </w:rPr>
        <w:t>60</w:t>
      </w:r>
      <w:r>
        <w:rPr>
          <w:rFonts w:hint="eastAsia"/>
          <w:sz w:val="21"/>
          <w:szCs w:val="21"/>
        </w:rPr>
        <w:t>个日历天。</w:t>
      </w:r>
    </w:p>
    <w:p>
      <w:pPr>
        <w:adjustRightInd w:val="0"/>
        <w:snapToGrid w:val="0"/>
        <w:spacing w:before="60" w:after="60" w:afterLines="25" w:line="500" w:lineRule="exact"/>
        <w:ind w:firstLine="422" w:firstLineChars="200"/>
        <w:outlineLvl w:val="1"/>
        <w:rPr>
          <w:b/>
          <w:sz w:val="21"/>
          <w:szCs w:val="21"/>
        </w:rPr>
      </w:pPr>
      <w:bookmarkStart w:id="8" w:name="_Toc4270"/>
      <w:r>
        <w:rPr>
          <w:rFonts w:hint="eastAsia"/>
          <w:b/>
          <w:sz w:val="21"/>
          <w:szCs w:val="21"/>
        </w:rPr>
        <w:t>二、供应商资格要求</w:t>
      </w:r>
      <w:bookmarkEnd w:id="7"/>
      <w:bookmarkEnd w:id="8"/>
    </w:p>
    <w:p>
      <w:pPr>
        <w:adjustRightInd w:val="0"/>
        <w:snapToGrid w:val="0"/>
        <w:spacing w:after="60" w:afterLines="25" w:line="500" w:lineRule="exact"/>
        <w:ind w:firstLine="420" w:firstLineChars="200"/>
        <w:rPr>
          <w:sz w:val="21"/>
          <w:szCs w:val="21"/>
        </w:rPr>
      </w:pPr>
      <w:r>
        <w:rPr>
          <w:sz w:val="21"/>
          <w:szCs w:val="21"/>
        </w:rPr>
        <w:t>1.</w:t>
      </w:r>
      <w:r>
        <w:rPr>
          <w:rFonts w:hint="eastAsia"/>
          <w:sz w:val="21"/>
          <w:szCs w:val="21"/>
          <w:lang w:val="en-US"/>
        </w:rPr>
        <w:t>响应</w:t>
      </w:r>
      <w:r>
        <w:rPr>
          <w:rFonts w:hint="eastAsia"/>
          <w:sz w:val="21"/>
          <w:szCs w:val="21"/>
        </w:rPr>
        <w:t>供应商应具备《中华人民共和国政府采购法》第二十二条规定的条件，提供下列材料：</w:t>
      </w:r>
    </w:p>
    <w:p>
      <w:pPr>
        <w:adjustRightInd w:val="0"/>
        <w:snapToGrid w:val="0"/>
        <w:spacing w:after="60" w:afterLines="25" w:line="500" w:lineRule="exact"/>
        <w:ind w:firstLine="420" w:firstLineChars="200"/>
        <w:rPr>
          <w:sz w:val="21"/>
          <w:szCs w:val="21"/>
        </w:rPr>
      </w:pPr>
      <w:r>
        <w:rPr>
          <w:rFonts w:hint="eastAsia"/>
          <w:sz w:val="21"/>
          <w:szCs w:val="21"/>
        </w:rPr>
        <w:t>（</w:t>
      </w:r>
      <w:r>
        <w:rPr>
          <w:sz w:val="21"/>
          <w:szCs w:val="21"/>
        </w:rPr>
        <w:t>1）具有独立承担民事责任的能力：在中华人民共和国境内注册的法人或其他组织，磋商响应时提交有效的营业执照（或事业法人登记证等相关证明）复印件。</w:t>
      </w:r>
    </w:p>
    <w:p>
      <w:pPr>
        <w:adjustRightInd w:val="0"/>
        <w:snapToGrid w:val="0"/>
        <w:spacing w:after="60" w:afterLines="25" w:line="500" w:lineRule="exact"/>
        <w:ind w:firstLine="420" w:firstLineChars="200"/>
        <w:rPr>
          <w:sz w:val="21"/>
          <w:szCs w:val="21"/>
          <w:lang w:val="zh-TW"/>
        </w:rPr>
      </w:pPr>
      <w:r>
        <w:rPr>
          <w:rFonts w:hint="eastAsia"/>
          <w:sz w:val="21"/>
          <w:szCs w:val="21"/>
        </w:rPr>
        <w:t>（</w:t>
      </w:r>
      <w:r>
        <w:rPr>
          <w:sz w:val="21"/>
          <w:szCs w:val="21"/>
        </w:rPr>
        <w:t>2）有依法缴纳税收和社会保障资金的良好记录，</w:t>
      </w:r>
      <w:r>
        <w:rPr>
          <w:rFonts w:hint="eastAsia"/>
          <w:sz w:val="21"/>
          <w:szCs w:val="21"/>
          <w:lang w:val="zh-TW"/>
        </w:rPr>
        <w:t>须提供下列任一项证明材料：</w:t>
      </w:r>
    </w:p>
    <w:p>
      <w:pPr>
        <w:adjustRightInd w:val="0"/>
        <w:snapToGrid w:val="0"/>
        <w:spacing w:after="60" w:afterLines="25" w:line="500" w:lineRule="exact"/>
        <w:ind w:firstLine="420" w:firstLineChars="200"/>
        <w:rPr>
          <w:sz w:val="21"/>
          <w:szCs w:val="21"/>
          <w:lang w:val="zh-TW"/>
        </w:rPr>
      </w:pPr>
      <w:r>
        <w:rPr>
          <w:rFonts w:hint="eastAsia"/>
          <w:sz w:val="21"/>
          <w:szCs w:val="21"/>
          <w:lang w:val="zh-TW"/>
        </w:rPr>
        <w:t>①提供《采购供应商资格信用承诺函》（格式详见响应文件格式</w:t>
      </w:r>
      <w:r>
        <w:rPr>
          <w:sz w:val="21"/>
          <w:szCs w:val="21"/>
          <w:lang w:val="zh-TW"/>
        </w:rPr>
        <w:t xml:space="preserve"> </w:t>
      </w:r>
      <w:r>
        <w:rPr>
          <w:rFonts w:hint="eastAsia"/>
          <w:sz w:val="21"/>
          <w:szCs w:val="21"/>
          <w:lang w:val="zh-TW"/>
        </w:rPr>
        <w:t>附件</w:t>
      </w:r>
      <w:r>
        <w:rPr>
          <w:sz w:val="21"/>
          <w:szCs w:val="21"/>
          <w:lang w:val="zh-TW"/>
        </w:rPr>
        <w:t>4）。</w:t>
      </w:r>
    </w:p>
    <w:p>
      <w:pPr>
        <w:adjustRightInd w:val="0"/>
        <w:snapToGrid w:val="0"/>
        <w:spacing w:after="60" w:afterLines="25" w:line="500" w:lineRule="exact"/>
        <w:ind w:firstLine="420" w:firstLineChars="200"/>
        <w:rPr>
          <w:sz w:val="21"/>
          <w:szCs w:val="21"/>
        </w:rPr>
      </w:pPr>
      <w:r>
        <w:rPr>
          <w:rFonts w:hint="eastAsia"/>
          <w:sz w:val="21"/>
          <w:szCs w:val="21"/>
          <w:lang w:val="zh-TW"/>
        </w:rPr>
        <w:t>②提供扣除磋商公告发布当月往前顺推三个月内任意一个月的依法缴纳税收和社会保障资金的相关材料。如依法免税或不需要缴纳社会保障资金的，提供相应证明材料。</w:t>
      </w:r>
    </w:p>
    <w:p>
      <w:pPr>
        <w:adjustRightInd w:val="0"/>
        <w:snapToGrid w:val="0"/>
        <w:spacing w:after="60" w:afterLines="25" w:line="500" w:lineRule="exact"/>
        <w:ind w:firstLine="420" w:firstLineChars="200"/>
        <w:rPr>
          <w:sz w:val="21"/>
          <w:szCs w:val="21"/>
        </w:rPr>
      </w:pPr>
      <w:r>
        <w:rPr>
          <w:rFonts w:hint="eastAsia"/>
          <w:sz w:val="21"/>
          <w:szCs w:val="21"/>
        </w:rPr>
        <w:t>（</w:t>
      </w:r>
      <w:r>
        <w:rPr>
          <w:sz w:val="21"/>
          <w:szCs w:val="21"/>
        </w:rPr>
        <w:t>3）具有良好的商业信誉和健全的财务会计制度，须提供下列任一项证明材料：</w:t>
      </w:r>
    </w:p>
    <w:p>
      <w:pPr>
        <w:adjustRightInd w:val="0"/>
        <w:snapToGrid w:val="0"/>
        <w:spacing w:after="60" w:afterLines="25" w:line="500" w:lineRule="exact"/>
        <w:ind w:firstLine="420" w:firstLineChars="200"/>
        <w:rPr>
          <w:sz w:val="21"/>
          <w:szCs w:val="21"/>
          <w:lang w:val="zh-TW"/>
        </w:rPr>
      </w:pPr>
      <w:r>
        <w:rPr>
          <w:rFonts w:hint="eastAsia"/>
          <w:sz w:val="21"/>
          <w:szCs w:val="21"/>
          <w:lang w:val="zh-TW"/>
        </w:rPr>
        <w:t>①提供《采购供应商资格信用承诺函》（格式详见响应文件格式</w:t>
      </w:r>
      <w:r>
        <w:rPr>
          <w:sz w:val="21"/>
          <w:szCs w:val="21"/>
          <w:lang w:val="zh-TW"/>
        </w:rPr>
        <w:t xml:space="preserve"> </w:t>
      </w:r>
      <w:r>
        <w:rPr>
          <w:rFonts w:hint="eastAsia"/>
          <w:sz w:val="21"/>
          <w:szCs w:val="21"/>
          <w:lang w:val="zh-TW"/>
        </w:rPr>
        <w:t>附件</w:t>
      </w:r>
      <w:r>
        <w:rPr>
          <w:sz w:val="21"/>
          <w:szCs w:val="21"/>
          <w:lang w:val="zh-TW"/>
        </w:rPr>
        <w:t>4）；</w:t>
      </w:r>
    </w:p>
    <w:p>
      <w:pPr>
        <w:adjustRightInd w:val="0"/>
        <w:snapToGrid w:val="0"/>
        <w:spacing w:after="60" w:afterLines="25" w:line="500" w:lineRule="exact"/>
        <w:ind w:firstLine="420" w:firstLineChars="200"/>
        <w:rPr>
          <w:sz w:val="21"/>
          <w:szCs w:val="21"/>
        </w:rPr>
      </w:pPr>
      <w:r>
        <w:rPr>
          <w:rFonts w:hint="eastAsia"/>
          <w:sz w:val="21"/>
          <w:szCs w:val="21"/>
          <w:lang w:val="zh-TW"/>
        </w:rPr>
        <w:t>②</w:t>
      </w:r>
      <w:r>
        <w:rPr>
          <w:sz w:val="21"/>
          <w:szCs w:val="21"/>
        </w:rPr>
        <w:t>202</w:t>
      </w:r>
      <w:r>
        <w:rPr>
          <w:sz w:val="21"/>
          <w:szCs w:val="21"/>
          <w:lang w:val="en-US"/>
        </w:rPr>
        <w:t>1</w:t>
      </w:r>
      <w:r>
        <w:rPr>
          <w:rFonts w:hint="eastAsia"/>
          <w:sz w:val="21"/>
          <w:szCs w:val="21"/>
        </w:rPr>
        <w:t>年度或</w:t>
      </w:r>
      <w:r>
        <w:rPr>
          <w:sz w:val="21"/>
          <w:szCs w:val="21"/>
        </w:rPr>
        <w:t>202</w:t>
      </w:r>
      <w:r>
        <w:rPr>
          <w:sz w:val="21"/>
          <w:szCs w:val="21"/>
          <w:lang w:val="en-US"/>
        </w:rPr>
        <w:t>2</w:t>
      </w:r>
      <w:r>
        <w:rPr>
          <w:rFonts w:hint="eastAsia"/>
          <w:sz w:val="21"/>
          <w:szCs w:val="21"/>
        </w:rPr>
        <w:t>年度经审计的财务报告及财务报表（资产负债表、利润表和现金流量表）复印件（要求：审计报告由第三方会计师事务所或其他合法审计机构出具，须包含会计师事务所或审计机构的盖章页）；</w:t>
      </w:r>
    </w:p>
    <w:p>
      <w:pPr>
        <w:adjustRightInd w:val="0"/>
        <w:snapToGrid w:val="0"/>
        <w:spacing w:after="60" w:afterLines="25" w:line="500" w:lineRule="exact"/>
        <w:ind w:firstLine="420" w:firstLineChars="200"/>
        <w:rPr>
          <w:sz w:val="21"/>
          <w:szCs w:val="21"/>
        </w:rPr>
      </w:pPr>
      <w:r>
        <w:rPr>
          <w:rFonts w:hint="eastAsia"/>
          <w:sz w:val="21"/>
          <w:szCs w:val="21"/>
        </w:rPr>
        <w:t>③基本开户银行出具</w:t>
      </w:r>
      <w:r>
        <w:rPr>
          <w:sz w:val="21"/>
          <w:szCs w:val="21"/>
        </w:rPr>
        <w:t>202</w:t>
      </w:r>
      <w:r>
        <w:rPr>
          <w:sz w:val="21"/>
          <w:szCs w:val="21"/>
          <w:lang w:val="en-US"/>
        </w:rPr>
        <w:t>3</w:t>
      </w:r>
      <w:r>
        <w:rPr>
          <w:rFonts w:hint="eastAsia"/>
          <w:sz w:val="21"/>
          <w:szCs w:val="21"/>
        </w:rPr>
        <w:t>年度任意</w:t>
      </w:r>
      <w:r>
        <w:rPr>
          <w:sz w:val="21"/>
          <w:szCs w:val="21"/>
        </w:rPr>
        <w:t>1个月的资信证明，如资信证明不能体现基本开户账户的，应另附开户许可证。无开户许可证的，可提供由银行开具的《基本存款账户信息》（公户账户主档）或其他相关证明资料，以上文件均需加盖银行印章。</w:t>
      </w:r>
    </w:p>
    <w:p>
      <w:pPr>
        <w:adjustRightInd w:val="0"/>
        <w:snapToGrid w:val="0"/>
        <w:spacing w:after="60" w:afterLines="25" w:line="500" w:lineRule="exact"/>
        <w:ind w:firstLine="420" w:firstLineChars="200"/>
        <w:rPr>
          <w:sz w:val="21"/>
          <w:szCs w:val="21"/>
        </w:rPr>
      </w:pPr>
      <w:r>
        <w:rPr>
          <w:rFonts w:hint="eastAsia"/>
          <w:sz w:val="21"/>
          <w:szCs w:val="21"/>
        </w:rPr>
        <w:t>（</w:t>
      </w:r>
      <w:r>
        <w:rPr>
          <w:sz w:val="21"/>
          <w:szCs w:val="21"/>
        </w:rPr>
        <w:t>4）履行合同所必须的设备和专业技术能力：按响应文件格式填报设备及专业技术能力情况。</w:t>
      </w:r>
    </w:p>
    <w:p>
      <w:pPr>
        <w:adjustRightInd w:val="0"/>
        <w:snapToGrid w:val="0"/>
        <w:spacing w:after="60" w:afterLines="25" w:line="500" w:lineRule="exact"/>
        <w:ind w:firstLine="420" w:firstLineChars="200"/>
        <w:rPr>
          <w:sz w:val="21"/>
          <w:szCs w:val="21"/>
          <w:lang w:val="zh-TW"/>
        </w:rPr>
      </w:pPr>
      <w:r>
        <w:rPr>
          <w:rFonts w:hint="eastAsia"/>
          <w:sz w:val="21"/>
          <w:szCs w:val="21"/>
        </w:rPr>
        <w:t>（</w:t>
      </w:r>
      <w:r>
        <w:rPr>
          <w:sz w:val="21"/>
          <w:szCs w:val="21"/>
        </w:rPr>
        <w:t>5）参加采购活动前3年内，在经营活动中没有重大违法记录，</w:t>
      </w:r>
      <w:r>
        <w:rPr>
          <w:rFonts w:hint="eastAsia"/>
          <w:sz w:val="21"/>
          <w:szCs w:val="21"/>
          <w:lang w:val="zh-TW"/>
        </w:rPr>
        <w:t>须提供下列任一项证明材料：</w:t>
      </w:r>
    </w:p>
    <w:p>
      <w:pPr>
        <w:adjustRightInd w:val="0"/>
        <w:snapToGrid w:val="0"/>
        <w:spacing w:after="60" w:afterLines="25" w:line="500" w:lineRule="exact"/>
        <w:ind w:firstLine="420" w:firstLineChars="200"/>
        <w:rPr>
          <w:sz w:val="21"/>
          <w:szCs w:val="21"/>
          <w:lang w:val="zh-TW"/>
        </w:rPr>
      </w:pPr>
      <w:r>
        <w:rPr>
          <w:rFonts w:hint="eastAsia"/>
          <w:sz w:val="21"/>
          <w:szCs w:val="21"/>
          <w:lang w:val="zh-TW"/>
        </w:rPr>
        <w:t>①提供《采购供应商资格信用承诺函》（格式详见响应文件格式</w:t>
      </w:r>
      <w:r>
        <w:rPr>
          <w:sz w:val="21"/>
          <w:szCs w:val="21"/>
          <w:lang w:val="zh-TW"/>
        </w:rPr>
        <w:t xml:space="preserve"> </w:t>
      </w:r>
      <w:r>
        <w:rPr>
          <w:rFonts w:hint="eastAsia"/>
          <w:sz w:val="21"/>
          <w:szCs w:val="21"/>
          <w:lang w:val="zh-TW"/>
        </w:rPr>
        <w:t>附件</w:t>
      </w:r>
      <w:r>
        <w:rPr>
          <w:sz w:val="21"/>
          <w:szCs w:val="21"/>
          <w:lang w:val="zh-TW"/>
        </w:rPr>
        <w:t>4）。</w:t>
      </w:r>
    </w:p>
    <w:p>
      <w:pPr>
        <w:adjustRightInd w:val="0"/>
        <w:snapToGrid w:val="0"/>
        <w:spacing w:after="60" w:afterLines="25" w:line="500" w:lineRule="exact"/>
        <w:ind w:firstLine="420" w:firstLineChars="200"/>
        <w:rPr>
          <w:sz w:val="21"/>
          <w:szCs w:val="21"/>
        </w:rPr>
      </w:pPr>
      <w:r>
        <w:rPr>
          <w:rFonts w:hint="eastAsia"/>
          <w:sz w:val="21"/>
          <w:szCs w:val="21"/>
          <w:lang w:val="zh-TW"/>
        </w:rPr>
        <w:t>②按响应文件格式填报参加采购活动前</w:t>
      </w:r>
      <w:r>
        <w:rPr>
          <w:sz w:val="21"/>
          <w:szCs w:val="21"/>
          <w:lang w:val="zh-TW"/>
        </w:rPr>
        <w:t>3年内在经营活动中没有重大违法记录</w:t>
      </w:r>
      <w:r>
        <w:rPr>
          <w:rFonts w:hint="eastAsia"/>
          <w:sz w:val="21"/>
          <w:szCs w:val="21"/>
        </w:rPr>
        <w:t>。</w:t>
      </w:r>
    </w:p>
    <w:p>
      <w:pPr>
        <w:adjustRightInd w:val="0"/>
        <w:snapToGrid w:val="0"/>
        <w:spacing w:after="60" w:afterLines="25" w:line="500" w:lineRule="exact"/>
        <w:ind w:firstLine="420" w:firstLineChars="200"/>
        <w:rPr>
          <w:sz w:val="21"/>
          <w:szCs w:val="21"/>
        </w:rPr>
      </w:pPr>
      <w:r>
        <w:rPr>
          <w:rFonts w:hint="eastAsia"/>
          <w:sz w:val="21"/>
          <w:szCs w:val="21"/>
        </w:rPr>
        <w:t>（</w:t>
      </w:r>
      <w:r>
        <w:rPr>
          <w:sz w:val="21"/>
          <w:szCs w:val="21"/>
          <w:lang w:val="en-US"/>
        </w:rPr>
        <w:t>6</w:t>
      </w:r>
      <w:r>
        <w:rPr>
          <w:rFonts w:hint="eastAsia"/>
          <w:sz w:val="21"/>
          <w:szCs w:val="21"/>
        </w:rPr>
        <w:t>）供应商必须符合法律、行政法规规定的其他条件：</w:t>
      </w:r>
    </w:p>
    <w:p>
      <w:pPr>
        <w:adjustRightInd w:val="0"/>
        <w:snapToGrid w:val="0"/>
        <w:spacing w:after="60" w:afterLines="25" w:line="500" w:lineRule="exact"/>
        <w:ind w:firstLine="420" w:firstLineChars="200"/>
        <w:rPr>
          <w:sz w:val="21"/>
          <w:szCs w:val="21"/>
        </w:rPr>
      </w:pPr>
      <w:r>
        <w:rPr>
          <w:sz w:val="21"/>
          <w:szCs w:val="21"/>
        </w:rPr>
        <w:t>1）为采购项目提供整体设计、规范编制或者项目管理、监理、检测等服务的供应商，不得再参加该采购项目的其他采购活动</w:t>
      </w:r>
      <w:r>
        <w:rPr>
          <w:rFonts w:hint="eastAsia"/>
          <w:b/>
          <w:bCs/>
          <w:sz w:val="21"/>
          <w:szCs w:val="21"/>
        </w:rPr>
        <w:t>（供应商须提供《关于资格的声明函》）</w:t>
      </w:r>
      <w:r>
        <w:rPr>
          <w:rFonts w:hint="eastAsia"/>
          <w:sz w:val="21"/>
          <w:szCs w:val="21"/>
        </w:rPr>
        <w:t>；</w:t>
      </w:r>
    </w:p>
    <w:p>
      <w:pPr>
        <w:adjustRightInd w:val="0"/>
        <w:snapToGrid w:val="0"/>
        <w:spacing w:after="60" w:afterLines="25" w:line="500" w:lineRule="exact"/>
        <w:ind w:firstLine="420" w:firstLineChars="200"/>
        <w:rPr>
          <w:sz w:val="21"/>
          <w:szCs w:val="21"/>
        </w:rPr>
      </w:pPr>
      <w:r>
        <w:rPr>
          <w:sz w:val="21"/>
          <w:szCs w:val="21"/>
        </w:rPr>
        <w:t>2）</w:t>
      </w:r>
      <w:r>
        <w:rPr>
          <w:rFonts w:hint="eastAsia"/>
          <w:sz w:val="21"/>
          <w:szCs w:val="21"/>
          <w:lang w:val="en-US"/>
        </w:rPr>
        <w:t>单位负责人为同一人或者存在直接控股、管理关系的不同供应商，不得参加同一合同项下的采购活动</w:t>
      </w:r>
      <w:r>
        <w:rPr>
          <w:rFonts w:hint="eastAsia"/>
          <w:b/>
          <w:bCs/>
          <w:sz w:val="21"/>
          <w:szCs w:val="21"/>
          <w:lang w:val="en-US"/>
        </w:rPr>
        <w:t>（供应商须提供《关于资格的声明函》）</w:t>
      </w:r>
      <w:r>
        <w:rPr>
          <w:rFonts w:hint="eastAsia"/>
          <w:sz w:val="21"/>
          <w:szCs w:val="21"/>
        </w:rPr>
        <w:t>；</w:t>
      </w:r>
    </w:p>
    <w:p>
      <w:pPr>
        <w:adjustRightInd w:val="0"/>
        <w:snapToGrid w:val="0"/>
        <w:spacing w:after="60" w:afterLines="25" w:line="500" w:lineRule="exact"/>
        <w:ind w:firstLine="420" w:firstLineChars="200"/>
        <w:rPr>
          <w:sz w:val="21"/>
          <w:szCs w:val="21"/>
        </w:rPr>
      </w:pPr>
      <w:r>
        <w:rPr>
          <w:sz w:val="21"/>
          <w:szCs w:val="21"/>
          <w:lang w:val="en-US"/>
        </w:rPr>
        <w:t>2.</w:t>
      </w:r>
      <w:r>
        <w:rPr>
          <w:rFonts w:hint="eastAsia"/>
          <w:sz w:val="21"/>
          <w:szCs w:val="21"/>
        </w:rPr>
        <w:t>供应商未被列入“信用中国”网站</w:t>
      </w:r>
      <w:r>
        <w:rPr>
          <w:sz w:val="21"/>
          <w:szCs w:val="21"/>
        </w:rPr>
        <w:t>(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磋商截止日当天在“信用中国”网站（ www.creditchina.gov.cn）及中国政府采购网(www.ccgp.gov.cn)查询结果为准，如相关失信记录已失效，供应商需提供相关证明资料】。</w:t>
      </w:r>
    </w:p>
    <w:p>
      <w:pPr>
        <w:adjustRightInd w:val="0"/>
        <w:snapToGrid w:val="0"/>
        <w:spacing w:after="60" w:afterLines="25" w:line="500" w:lineRule="exact"/>
        <w:ind w:firstLine="420" w:firstLineChars="200"/>
        <w:rPr>
          <w:sz w:val="21"/>
          <w:szCs w:val="21"/>
        </w:rPr>
      </w:pPr>
      <w:r>
        <w:rPr>
          <w:sz w:val="21"/>
          <w:szCs w:val="21"/>
          <w:lang w:val="en-US"/>
        </w:rPr>
        <w:t>3</w:t>
      </w:r>
      <w:r>
        <w:rPr>
          <w:sz w:val="21"/>
          <w:szCs w:val="21"/>
        </w:rPr>
        <w:t>.落实政府采购政策需满足的资格要求：</w:t>
      </w:r>
      <w:r>
        <w:rPr>
          <w:rFonts w:hint="eastAsia"/>
          <w:sz w:val="21"/>
          <w:szCs w:val="21"/>
          <w:lang w:val="en-US"/>
        </w:rPr>
        <w:t>无</w:t>
      </w:r>
      <w:r>
        <w:rPr>
          <w:rFonts w:hint="eastAsia"/>
          <w:sz w:val="21"/>
          <w:szCs w:val="21"/>
        </w:rPr>
        <w:t>。</w:t>
      </w:r>
    </w:p>
    <w:p>
      <w:pPr>
        <w:adjustRightInd w:val="0"/>
        <w:snapToGrid w:val="0"/>
        <w:spacing w:after="60" w:afterLines="25" w:line="500" w:lineRule="exact"/>
        <w:ind w:firstLine="420" w:firstLineChars="200"/>
        <w:rPr>
          <w:sz w:val="21"/>
          <w:szCs w:val="21"/>
        </w:rPr>
      </w:pPr>
      <w:r>
        <w:rPr>
          <w:sz w:val="21"/>
          <w:szCs w:val="21"/>
          <w:lang w:val="en-US"/>
        </w:rPr>
        <w:t>4</w:t>
      </w:r>
      <w:r>
        <w:rPr>
          <w:sz w:val="21"/>
          <w:szCs w:val="21"/>
        </w:rPr>
        <w:t>.本项目的特定资格要求：</w:t>
      </w:r>
    </w:p>
    <w:p>
      <w:pPr>
        <w:adjustRightInd w:val="0"/>
        <w:snapToGrid w:val="0"/>
        <w:spacing w:after="60" w:afterLines="25" w:line="500" w:lineRule="exact"/>
        <w:ind w:firstLine="420" w:firstLineChars="200"/>
        <w:rPr>
          <w:sz w:val="21"/>
          <w:szCs w:val="21"/>
        </w:rPr>
      </w:pPr>
      <w:r>
        <w:rPr>
          <w:rFonts w:hint="eastAsia"/>
          <w:sz w:val="21"/>
          <w:szCs w:val="21"/>
        </w:rPr>
        <w:t>（</w:t>
      </w:r>
      <w:r>
        <w:rPr>
          <w:sz w:val="21"/>
          <w:szCs w:val="21"/>
        </w:rPr>
        <w:t>1）供应商须具有有效的建设行政主管部门核发的市政公用工程施工总承包</w:t>
      </w:r>
      <w:r>
        <w:rPr>
          <w:rFonts w:hint="eastAsia"/>
          <w:sz w:val="21"/>
          <w:szCs w:val="21"/>
        </w:rPr>
        <w:t>二</w:t>
      </w:r>
      <w:r>
        <w:rPr>
          <w:sz w:val="21"/>
          <w:szCs w:val="21"/>
        </w:rPr>
        <w:t>级（或以上）资质；</w:t>
      </w:r>
    </w:p>
    <w:p>
      <w:pPr>
        <w:adjustRightInd w:val="0"/>
        <w:snapToGrid w:val="0"/>
        <w:spacing w:after="60" w:afterLines="25" w:line="500" w:lineRule="exact"/>
        <w:ind w:firstLine="420" w:firstLineChars="200"/>
        <w:rPr>
          <w:sz w:val="21"/>
          <w:szCs w:val="21"/>
          <w:lang w:val="en-US"/>
        </w:rPr>
      </w:pPr>
      <w:r>
        <w:rPr>
          <w:rFonts w:hint="eastAsia"/>
          <w:sz w:val="21"/>
          <w:szCs w:val="21"/>
        </w:rPr>
        <w:t>（</w:t>
      </w:r>
      <w:r>
        <w:rPr>
          <w:sz w:val="21"/>
          <w:szCs w:val="21"/>
          <w:lang w:val="en-US"/>
        </w:rPr>
        <w:t>2</w:t>
      </w:r>
      <w:r>
        <w:rPr>
          <w:rFonts w:hint="eastAsia"/>
          <w:sz w:val="21"/>
          <w:szCs w:val="21"/>
        </w:rPr>
        <w:t>）</w:t>
      </w:r>
      <w:r>
        <w:rPr>
          <w:rFonts w:hint="eastAsia"/>
          <w:sz w:val="21"/>
          <w:szCs w:val="21"/>
          <w:lang w:val="en-US"/>
        </w:rPr>
        <w:t>供应商必须具备建设行政主管部门颁发的有效《安全生产许可证》；</w:t>
      </w:r>
    </w:p>
    <w:p>
      <w:pPr>
        <w:adjustRightInd w:val="0"/>
        <w:snapToGrid w:val="0"/>
        <w:spacing w:after="60" w:afterLines="25" w:line="500" w:lineRule="exact"/>
        <w:ind w:firstLine="420" w:firstLineChars="200"/>
        <w:rPr>
          <w:sz w:val="21"/>
          <w:szCs w:val="21"/>
          <w:lang w:val="en-US"/>
        </w:rPr>
      </w:pPr>
      <w:r>
        <w:rPr>
          <w:rFonts w:hint="eastAsia"/>
          <w:sz w:val="21"/>
          <w:szCs w:val="21"/>
        </w:rPr>
        <w:t>（</w:t>
      </w:r>
      <w:r>
        <w:rPr>
          <w:sz w:val="21"/>
          <w:szCs w:val="21"/>
          <w:lang w:val="en-US"/>
        </w:rPr>
        <w:t>3</w:t>
      </w:r>
      <w:r>
        <w:rPr>
          <w:rFonts w:hint="eastAsia"/>
          <w:sz w:val="21"/>
          <w:szCs w:val="21"/>
        </w:rPr>
        <w:t>）</w:t>
      </w:r>
      <w:r>
        <w:rPr>
          <w:rFonts w:hint="eastAsia"/>
          <w:sz w:val="21"/>
          <w:szCs w:val="21"/>
          <w:lang w:val="en-US"/>
        </w:rPr>
        <w:t>供应商应有良好信誉，且持有佛山市建筑诚信评价体系管理平台中办理登记并获得对应行业的有效的建筑行业诚信档案，佛山市建筑诚信评价体系管理平台的考评等级为</w:t>
      </w:r>
      <w:r>
        <w:rPr>
          <w:sz w:val="21"/>
          <w:szCs w:val="21"/>
          <w:lang w:val="en-US"/>
        </w:rPr>
        <w:t>D</w:t>
      </w:r>
      <w:r>
        <w:rPr>
          <w:rFonts w:hint="eastAsia"/>
          <w:sz w:val="21"/>
          <w:szCs w:val="21"/>
          <w:lang w:val="en-US"/>
        </w:rPr>
        <w:t>级或以上且状态显示为“正常”（以资格审查当天的查询结果为准）；</w:t>
      </w:r>
    </w:p>
    <w:p>
      <w:pPr>
        <w:adjustRightInd w:val="0"/>
        <w:snapToGrid w:val="0"/>
        <w:spacing w:after="60" w:afterLines="25" w:line="500" w:lineRule="exact"/>
        <w:ind w:firstLine="420" w:firstLineChars="200"/>
        <w:rPr>
          <w:sz w:val="21"/>
          <w:szCs w:val="21"/>
          <w:lang w:val="en-US"/>
        </w:rPr>
      </w:pPr>
      <w:r>
        <w:rPr>
          <w:rFonts w:hint="eastAsia"/>
          <w:sz w:val="21"/>
          <w:szCs w:val="21"/>
          <w:lang w:val="en-US"/>
        </w:rPr>
        <w:t>（</w:t>
      </w:r>
      <w:r>
        <w:rPr>
          <w:sz w:val="21"/>
          <w:szCs w:val="21"/>
          <w:lang w:val="en-US"/>
        </w:rPr>
        <w:t>4）</w:t>
      </w:r>
      <w:r>
        <w:rPr>
          <w:rFonts w:hint="eastAsia"/>
          <w:sz w:val="21"/>
          <w:szCs w:val="21"/>
        </w:rPr>
        <w:t>广东省以外的供应商</w:t>
      </w:r>
      <w:r>
        <w:rPr>
          <w:rFonts w:hint="eastAsia"/>
          <w:sz w:val="21"/>
          <w:szCs w:val="21"/>
          <w:lang w:val="en-US"/>
        </w:rPr>
        <w:t>，</w:t>
      </w:r>
      <w:r>
        <w:rPr>
          <w:rFonts w:hint="eastAsia"/>
          <w:sz w:val="21"/>
          <w:szCs w:val="21"/>
        </w:rPr>
        <w:t>须提供在广东建设信息网</w:t>
      </w:r>
      <w:r>
        <w:rPr>
          <w:rFonts w:hint="eastAsia"/>
          <w:sz w:val="21"/>
          <w:szCs w:val="21"/>
          <w:lang w:val="en-US"/>
        </w:rPr>
        <w:t>（</w:t>
      </w:r>
      <w:r>
        <w:rPr>
          <w:rFonts w:hint="eastAsia"/>
          <w:sz w:val="21"/>
          <w:szCs w:val="21"/>
        </w:rPr>
        <w:t>网址</w:t>
      </w:r>
      <w:r>
        <w:rPr>
          <w:rFonts w:hint="eastAsia"/>
          <w:sz w:val="21"/>
          <w:szCs w:val="21"/>
          <w:lang w:val="en-US"/>
        </w:rPr>
        <w:t>：</w:t>
      </w:r>
      <w:r>
        <w:rPr>
          <w:sz w:val="21"/>
          <w:szCs w:val="21"/>
          <w:lang w:val="en-US"/>
        </w:rPr>
        <w:t>www.gdcic.net）“</w:t>
      </w:r>
      <w:r>
        <w:rPr>
          <w:rFonts w:hint="eastAsia"/>
          <w:sz w:val="21"/>
          <w:szCs w:val="21"/>
        </w:rPr>
        <w:t>进粤企业和人员诚信信息登记平台</w:t>
      </w:r>
      <w:r>
        <w:rPr>
          <w:rFonts w:hint="eastAsia"/>
          <w:sz w:val="21"/>
          <w:szCs w:val="21"/>
          <w:lang w:val="en-US"/>
        </w:rPr>
        <w:t>”</w:t>
      </w:r>
      <w:r>
        <w:rPr>
          <w:rFonts w:hint="eastAsia"/>
          <w:sz w:val="21"/>
          <w:szCs w:val="21"/>
        </w:rPr>
        <w:t>专栏关于供应商进粤企业及人员信息登记的网页打印件</w:t>
      </w:r>
      <w:r>
        <w:rPr>
          <w:rFonts w:hint="eastAsia"/>
          <w:sz w:val="21"/>
          <w:szCs w:val="21"/>
          <w:lang w:val="en-US"/>
        </w:rPr>
        <w:t>；</w:t>
      </w:r>
    </w:p>
    <w:p>
      <w:pPr>
        <w:adjustRightInd w:val="0"/>
        <w:snapToGrid w:val="0"/>
        <w:spacing w:before="60" w:after="60" w:afterLines="25" w:line="500" w:lineRule="exact"/>
        <w:ind w:firstLine="422" w:firstLineChars="200"/>
        <w:outlineLvl w:val="1"/>
        <w:rPr>
          <w:b/>
          <w:bCs/>
          <w:sz w:val="21"/>
          <w:szCs w:val="21"/>
        </w:rPr>
      </w:pPr>
      <w:bookmarkStart w:id="9" w:name="_Toc29413"/>
      <w:bookmarkStart w:id="10" w:name="_Toc23714_WPSOffice_Level2"/>
      <w:r>
        <w:rPr>
          <w:rFonts w:hint="eastAsia"/>
          <w:b/>
          <w:bCs/>
          <w:sz w:val="21"/>
          <w:szCs w:val="21"/>
        </w:rPr>
        <w:t>三、获取</w:t>
      </w:r>
      <w:bookmarkEnd w:id="9"/>
      <w:r>
        <w:rPr>
          <w:rFonts w:hint="eastAsia"/>
          <w:b/>
          <w:bCs/>
          <w:sz w:val="21"/>
          <w:szCs w:val="21"/>
        </w:rPr>
        <w:t>磋商文件</w:t>
      </w:r>
    </w:p>
    <w:p>
      <w:pPr>
        <w:pStyle w:val="16"/>
        <w:widowControl/>
        <w:shd w:val="clear" w:color="auto" w:fill="FFFFFF"/>
        <w:adjustRightInd w:val="0"/>
        <w:snapToGrid w:val="0"/>
        <w:spacing w:line="500" w:lineRule="exact"/>
        <w:ind w:firstLine="480"/>
        <w:textAlignment w:val="baseline"/>
        <w:rPr>
          <w:rFonts w:ascii="宋体" w:hAnsi="宋体" w:cs="宋体"/>
          <w:kern w:val="0"/>
          <w:sz w:val="21"/>
          <w:szCs w:val="21"/>
          <w:lang w:val="zh-CN" w:bidi="zh-CN"/>
        </w:rPr>
      </w:pPr>
      <w:r>
        <w:rPr>
          <w:rFonts w:hint="eastAsia" w:ascii="宋体" w:hAnsi="宋体" w:cs="宋体"/>
          <w:sz w:val="21"/>
          <w:szCs w:val="21"/>
        </w:rPr>
        <w:t>（</w:t>
      </w:r>
      <w:r>
        <w:rPr>
          <w:rFonts w:ascii="宋体" w:hAnsi="宋体" w:cs="宋体"/>
          <w:sz w:val="21"/>
          <w:szCs w:val="21"/>
        </w:rPr>
        <w:t>1）现场获取文件时间、地点：</w:t>
      </w:r>
    </w:p>
    <w:p>
      <w:pPr>
        <w:pStyle w:val="16"/>
        <w:widowControl/>
        <w:shd w:val="clear" w:color="auto" w:fill="FFFFFF"/>
        <w:adjustRightInd w:val="0"/>
        <w:snapToGrid w:val="0"/>
        <w:spacing w:line="500" w:lineRule="exact"/>
        <w:ind w:firstLine="480"/>
        <w:textAlignment w:val="baseline"/>
        <w:rPr>
          <w:rFonts w:ascii="宋体" w:hAnsi="宋体" w:cs="宋体"/>
          <w:kern w:val="0"/>
          <w:sz w:val="21"/>
          <w:szCs w:val="21"/>
          <w:lang w:val="zh-CN" w:bidi="zh-CN"/>
        </w:rPr>
      </w:pPr>
      <w:r>
        <w:rPr>
          <w:rFonts w:hint="eastAsia" w:ascii="宋体" w:hAnsi="宋体" w:cs="宋体"/>
          <w:kern w:val="0"/>
          <w:sz w:val="21"/>
          <w:szCs w:val="21"/>
          <w:lang w:val="zh-CN" w:bidi="zh-CN"/>
        </w:rPr>
        <w:t>时间：</w:t>
      </w:r>
      <w:r>
        <w:rPr>
          <w:rFonts w:ascii="宋体" w:hAnsi="宋体" w:cs="宋体"/>
          <w:kern w:val="0"/>
          <w:sz w:val="21"/>
          <w:szCs w:val="21"/>
          <w:lang w:val="zh-CN" w:bidi="zh-CN"/>
        </w:rPr>
        <w:t>202</w:t>
      </w:r>
      <w:r>
        <w:rPr>
          <w:rFonts w:hint="eastAsia" w:ascii="宋体" w:hAnsi="宋体" w:cs="宋体"/>
          <w:kern w:val="0"/>
          <w:sz w:val="21"/>
          <w:szCs w:val="21"/>
          <w:lang w:bidi="zh-CN"/>
        </w:rPr>
        <w:t>4</w:t>
      </w:r>
      <w:r>
        <w:rPr>
          <w:rFonts w:hint="eastAsia" w:ascii="宋体" w:hAnsi="宋体" w:cs="宋体"/>
          <w:kern w:val="0"/>
          <w:sz w:val="21"/>
          <w:szCs w:val="21"/>
          <w:lang w:val="zh-CN" w:bidi="zh-CN"/>
        </w:rPr>
        <w:t>年</w:t>
      </w:r>
      <w:r>
        <w:rPr>
          <w:rFonts w:hint="eastAsia" w:ascii="宋体" w:hAnsi="宋体" w:cs="宋体"/>
          <w:kern w:val="0"/>
          <w:sz w:val="21"/>
          <w:szCs w:val="21"/>
          <w:u w:val="single"/>
          <w:lang w:val="en-US" w:bidi="zh-CN"/>
        </w:rPr>
        <w:t>2</w:t>
      </w:r>
      <w:r>
        <w:rPr>
          <w:rFonts w:hint="eastAsia" w:ascii="宋体" w:hAnsi="宋体" w:cs="宋体"/>
          <w:kern w:val="0"/>
          <w:sz w:val="21"/>
          <w:szCs w:val="21"/>
          <w:lang w:val="zh-CN" w:bidi="zh-CN"/>
        </w:rPr>
        <w:t>月</w:t>
      </w:r>
      <w:r>
        <w:rPr>
          <w:rFonts w:hint="eastAsia" w:ascii="宋体" w:hAnsi="宋体" w:cs="宋体"/>
          <w:kern w:val="0"/>
          <w:sz w:val="21"/>
          <w:szCs w:val="21"/>
          <w:u w:val="single"/>
          <w:lang w:val="en-US" w:bidi="zh-CN"/>
        </w:rPr>
        <w:t>4</w:t>
      </w:r>
      <w:r>
        <w:rPr>
          <w:rFonts w:hint="eastAsia" w:ascii="宋体" w:hAnsi="宋体" w:cs="宋体"/>
          <w:kern w:val="0"/>
          <w:sz w:val="21"/>
          <w:szCs w:val="21"/>
          <w:lang w:val="zh-CN" w:bidi="zh-CN"/>
        </w:rPr>
        <w:t>日至</w:t>
      </w:r>
      <w:r>
        <w:rPr>
          <w:rFonts w:ascii="宋体" w:hAnsi="宋体" w:cs="宋体"/>
          <w:kern w:val="0"/>
          <w:sz w:val="21"/>
          <w:szCs w:val="21"/>
          <w:lang w:val="zh-CN" w:bidi="zh-CN"/>
        </w:rPr>
        <w:t>202</w:t>
      </w:r>
      <w:r>
        <w:rPr>
          <w:rFonts w:hint="eastAsia" w:ascii="宋体" w:hAnsi="宋体" w:cs="宋体"/>
          <w:kern w:val="0"/>
          <w:sz w:val="21"/>
          <w:szCs w:val="21"/>
          <w:lang w:bidi="zh-CN"/>
        </w:rPr>
        <w:t>4</w:t>
      </w:r>
      <w:r>
        <w:rPr>
          <w:rFonts w:hint="eastAsia" w:ascii="宋体" w:hAnsi="宋体" w:cs="宋体"/>
          <w:kern w:val="0"/>
          <w:sz w:val="21"/>
          <w:szCs w:val="21"/>
          <w:lang w:val="zh-CN" w:bidi="zh-CN"/>
        </w:rPr>
        <w:t>年</w:t>
      </w:r>
      <w:r>
        <w:rPr>
          <w:rFonts w:hint="eastAsia" w:ascii="宋体" w:hAnsi="宋体" w:cs="宋体"/>
          <w:kern w:val="0"/>
          <w:sz w:val="21"/>
          <w:szCs w:val="21"/>
          <w:u w:val="single"/>
          <w:lang w:val="en-US" w:bidi="zh-CN"/>
        </w:rPr>
        <w:t>2</w:t>
      </w:r>
      <w:r>
        <w:rPr>
          <w:rFonts w:hint="eastAsia" w:ascii="宋体" w:hAnsi="宋体" w:cs="宋体"/>
          <w:kern w:val="0"/>
          <w:sz w:val="21"/>
          <w:szCs w:val="21"/>
          <w:lang w:val="zh-CN" w:bidi="zh-CN"/>
        </w:rPr>
        <w:t>月</w:t>
      </w:r>
      <w:r>
        <w:rPr>
          <w:rFonts w:hint="eastAsia" w:ascii="宋体" w:hAnsi="宋体" w:cs="宋体"/>
          <w:kern w:val="0"/>
          <w:sz w:val="21"/>
          <w:szCs w:val="21"/>
          <w:u w:val="single"/>
          <w:lang w:val="en-US" w:bidi="zh-CN"/>
        </w:rPr>
        <w:t>8</w:t>
      </w:r>
      <w:r>
        <w:rPr>
          <w:rFonts w:hint="eastAsia" w:ascii="宋体" w:hAnsi="宋体" w:cs="宋体"/>
          <w:kern w:val="0"/>
          <w:sz w:val="21"/>
          <w:szCs w:val="21"/>
          <w:lang w:val="zh-CN" w:bidi="zh-CN"/>
        </w:rPr>
        <w:t>日，每天上午</w:t>
      </w:r>
      <w:r>
        <w:rPr>
          <w:rFonts w:ascii="宋体" w:hAnsi="宋体" w:cs="宋体"/>
          <w:kern w:val="0"/>
          <w:sz w:val="21"/>
          <w:szCs w:val="21"/>
          <w:lang w:val="zh-CN" w:bidi="zh-CN"/>
        </w:rPr>
        <w:t>08:30:00至12:00:00，下午14:00:00至17:30:00（北京时间,法定节假日除外）</w:t>
      </w:r>
    </w:p>
    <w:p>
      <w:pPr>
        <w:pStyle w:val="16"/>
        <w:widowControl/>
        <w:shd w:val="clear" w:color="auto" w:fill="FFFFFF"/>
        <w:adjustRightInd w:val="0"/>
        <w:snapToGrid w:val="0"/>
        <w:spacing w:line="500" w:lineRule="exact"/>
        <w:ind w:firstLine="480"/>
        <w:textAlignment w:val="baseline"/>
        <w:rPr>
          <w:rFonts w:ascii="宋体" w:hAnsi="宋体" w:cs="宋体"/>
          <w:kern w:val="0"/>
          <w:sz w:val="21"/>
          <w:szCs w:val="21"/>
          <w:lang w:val="zh-CN" w:bidi="zh-CN"/>
        </w:rPr>
      </w:pPr>
      <w:r>
        <w:rPr>
          <w:rFonts w:hint="eastAsia" w:ascii="宋体" w:hAnsi="宋体" w:cs="宋体"/>
          <w:kern w:val="0"/>
          <w:sz w:val="21"/>
          <w:szCs w:val="21"/>
          <w:lang w:val="zh-CN" w:bidi="zh-CN"/>
        </w:rPr>
        <w:t>地点：广东华盈工程管理有限公司（地址：佛山市三水区云东海街道鲁村路</w:t>
      </w:r>
      <w:r>
        <w:rPr>
          <w:rFonts w:ascii="宋体" w:hAnsi="宋体" w:cs="宋体"/>
          <w:kern w:val="0"/>
          <w:sz w:val="21"/>
          <w:szCs w:val="21"/>
          <w:lang w:val="zh-CN" w:bidi="zh-CN"/>
        </w:rPr>
        <w:t>12号文都汇T4栋4F）</w:t>
      </w:r>
    </w:p>
    <w:p>
      <w:pPr>
        <w:pStyle w:val="16"/>
        <w:widowControl/>
        <w:shd w:val="clear" w:color="auto" w:fill="FFFFFF"/>
        <w:adjustRightInd w:val="0"/>
        <w:snapToGrid w:val="0"/>
        <w:spacing w:line="500" w:lineRule="exact"/>
        <w:ind w:firstLine="480"/>
        <w:textAlignment w:val="baseline"/>
        <w:rPr>
          <w:rFonts w:ascii="宋体" w:hAnsi="宋体" w:cs="宋体"/>
          <w:kern w:val="0"/>
          <w:sz w:val="21"/>
          <w:szCs w:val="21"/>
          <w:lang w:val="zh-CN" w:bidi="zh-CN"/>
        </w:rPr>
      </w:pPr>
      <w:r>
        <w:rPr>
          <w:rFonts w:hint="eastAsia" w:ascii="宋体" w:hAnsi="宋体" w:cs="宋体"/>
          <w:kern w:val="0"/>
          <w:sz w:val="21"/>
          <w:szCs w:val="21"/>
          <w:lang w:val="zh-CN" w:bidi="zh-CN"/>
        </w:rPr>
        <w:t>方式：现场获取</w:t>
      </w:r>
    </w:p>
    <w:p>
      <w:pPr>
        <w:pStyle w:val="16"/>
        <w:widowControl/>
        <w:shd w:val="clear" w:color="auto" w:fill="FFFFFF"/>
        <w:adjustRightInd w:val="0"/>
        <w:snapToGrid w:val="0"/>
        <w:spacing w:line="500" w:lineRule="exact"/>
        <w:ind w:firstLine="480"/>
        <w:textAlignment w:val="baseline"/>
        <w:rPr>
          <w:rFonts w:ascii="宋体" w:hAnsi="宋体" w:cs="宋体"/>
          <w:kern w:val="0"/>
          <w:sz w:val="21"/>
          <w:szCs w:val="21"/>
          <w:lang w:val="zh-CN" w:bidi="zh-CN"/>
        </w:rPr>
      </w:pPr>
      <w:r>
        <w:rPr>
          <w:rFonts w:hint="eastAsia" w:ascii="宋体" w:hAnsi="宋体" w:cs="宋体"/>
          <w:kern w:val="0"/>
          <w:sz w:val="21"/>
          <w:szCs w:val="21"/>
          <w:lang w:val="zh-CN" w:bidi="zh-CN"/>
        </w:rPr>
        <w:t>售价：</w:t>
      </w:r>
      <w:r>
        <w:rPr>
          <w:rFonts w:ascii="宋体" w:hAnsi="宋体" w:cs="宋体"/>
          <w:kern w:val="0"/>
          <w:sz w:val="21"/>
          <w:szCs w:val="21"/>
          <w:lang w:val="zh-CN" w:bidi="zh-CN"/>
        </w:rPr>
        <w:t>300元</w:t>
      </w:r>
    </w:p>
    <w:p>
      <w:pPr>
        <w:adjustRightInd w:val="0"/>
        <w:snapToGrid w:val="0"/>
        <w:spacing w:before="60" w:after="60" w:afterLines="25" w:line="500" w:lineRule="exact"/>
        <w:ind w:firstLine="420" w:firstLineChars="200"/>
        <w:rPr>
          <w:sz w:val="21"/>
          <w:szCs w:val="21"/>
        </w:rPr>
      </w:pPr>
      <w:r>
        <w:rPr>
          <w:rFonts w:hint="eastAsia"/>
          <w:sz w:val="21"/>
          <w:szCs w:val="21"/>
        </w:rPr>
        <w:t>（</w:t>
      </w:r>
      <w:r>
        <w:rPr>
          <w:sz w:val="21"/>
          <w:szCs w:val="21"/>
        </w:rPr>
        <w:t>2）现场获取文件提供以下资料：</w:t>
      </w:r>
      <w:r>
        <w:rPr>
          <w:sz w:val="21"/>
          <w:szCs w:val="21"/>
        </w:rPr>
        <w:tab/>
      </w:r>
    </w:p>
    <w:p>
      <w:pPr>
        <w:adjustRightInd w:val="0"/>
        <w:snapToGrid w:val="0"/>
        <w:spacing w:before="60" w:after="60" w:afterLines="25" w:line="500" w:lineRule="exact"/>
        <w:ind w:firstLine="420" w:firstLineChars="200"/>
        <w:rPr>
          <w:sz w:val="21"/>
          <w:szCs w:val="21"/>
        </w:rPr>
      </w:pPr>
      <w:r>
        <w:rPr>
          <w:sz w:val="21"/>
          <w:szCs w:val="21"/>
        </w:rPr>
        <w:t>1）营业执照或事业法人登记证复印件（加盖供应商公章）；</w:t>
      </w:r>
    </w:p>
    <w:p>
      <w:pPr>
        <w:adjustRightInd w:val="0"/>
        <w:snapToGrid w:val="0"/>
        <w:spacing w:before="60" w:after="60" w:afterLines="25" w:line="500" w:lineRule="exact"/>
        <w:ind w:firstLine="420" w:firstLineChars="200"/>
        <w:rPr>
          <w:sz w:val="21"/>
          <w:szCs w:val="21"/>
        </w:rPr>
      </w:pPr>
      <w:r>
        <w:rPr>
          <w:sz w:val="21"/>
          <w:szCs w:val="21"/>
        </w:rPr>
        <w:t>2）附有法人代表身份证复印件的法定代表人证明（加盖供应商公章）；</w:t>
      </w:r>
    </w:p>
    <w:p>
      <w:pPr>
        <w:adjustRightInd w:val="0"/>
        <w:snapToGrid w:val="0"/>
        <w:spacing w:before="60" w:after="60" w:afterLines="25" w:line="500" w:lineRule="exact"/>
        <w:ind w:firstLine="420" w:firstLineChars="200"/>
        <w:rPr>
          <w:b/>
          <w:bCs/>
          <w:sz w:val="21"/>
          <w:szCs w:val="21"/>
        </w:rPr>
      </w:pPr>
      <w:r>
        <w:rPr>
          <w:sz w:val="21"/>
          <w:szCs w:val="21"/>
        </w:rPr>
        <w:t>3）附有授权代表身份证的授权文件（加盖供应商公章）；</w:t>
      </w:r>
    </w:p>
    <w:p>
      <w:pPr>
        <w:adjustRightInd w:val="0"/>
        <w:snapToGrid w:val="0"/>
        <w:spacing w:before="60" w:after="60" w:afterLines="25" w:line="500" w:lineRule="exact"/>
        <w:ind w:firstLine="422" w:firstLineChars="200"/>
        <w:rPr>
          <w:b/>
          <w:bCs/>
          <w:sz w:val="21"/>
          <w:szCs w:val="21"/>
        </w:rPr>
      </w:pPr>
      <w:r>
        <w:rPr>
          <w:rFonts w:hint="eastAsia"/>
          <w:b/>
          <w:bCs/>
          <w:sz w:val="21"/>
          <w:szCs w:val="21"/>
        </w:rPr>
        <w:t>注：</w:t>
      </w:r>
      <w:r>
        <w:rPr>
          <w:rFonts w:hint="eastAsia"/>
          <w:b/>
          <w:bCs/>
          <w:sz w:val="21"/>
          <w:szCs w:val="21"/>
          <w:lang w:val="en-US"/>
        </w:rPr>
        <w:t>采购</w:t>
      </w:r>
      <w:r>
        <w:rPr>
          <w:rFonts w:hint="eastAsia"/>
          <w:b/>
          <w:bCs/>
          <w:sz w:val="21"/>
          <w:szCs w:val="21"/>
        </w:rPr>
        <w:t>代理机构只接受现场报名购买了本项目《</w:t>
      </w:r>
      <w:r>
        <w:rPr>
          <w:rFonts w:hint="eastAsia"/>
          <w:b/>
          <w:bCs/>
          <w:sz w:val="21"/>
          <w:szCs w:val="21"/>
          <w:lang w:val="en-US"/>
        </w:rPr>
        <w:t>磋商</w:t>
      </w:r>
      <w:r>
        <w:rPr>
          <w:rFonts w:hint="eastAsia"/>
          <w:b/>
          <w:bCs/>
          <w:sz w:val="21"/>
          <w:szCs w:val="21"/>
        </w:rPr>
        <w:t>文件》的供应商提交的《</w:t>
      </w:r>
      <w:r>
        <w:rPr>
          <w:rFonts w:hint="eastAsia"/>
          <w:b/>
          <w:bCs/>
          <w:sz w:val="21"/>
          <w:szCs w:val="21"/>
          <w:lang w:val="en-US"/>
        </w:rPr>
        <w:t>响应</w:t>
      </w:r>
      <w:r>
        <w:rPr>
          <w:rFonts w:hint="eastAsia"/>
          <w:b/>
          <w:bCs/>
          <w:sz w:val="21"/>
          <w:szCs w:val="21"/>
        </w:rPr>
        <w:t>文件》。</w:t>
      </w:r>
    </w:p>
    <w:p>
      <w:pPr>
        <w:adjustRightInd w:val="0"/>
        <w:snapToGrid w:val="0"/>
        <w:spacing w:before="60" w:after="60" w:afterLines="25" w:line="500" w:lineRule="exact"/>
        <w:ind w:firstLine="422" w:firstLineChars="200"/>
        <w:outlineLvl w:val="1"/>
        <w:rPr>
          <w:b/>
          <w:bCs/>
          <w:sz w:val="21"/>
          <w:szCs w:val="21"/>
        </w:rPr>
      </w:pPr>
      <w:bookmarkStart w:id="11" w:name="_Toc11260"/>
      <w:r>
        <w:rPr>
          <w:rFonts w:hint="eastAsia"/>
          <w:b/>
          <w:bCs/>
          <w:sz w:val="21"/>
          <w:szCs w:val="21"/>
        </w:rPr>
        <w:t>四、响应文件提交</w:t>
      </w:r>
      <w:bookmarkEnd w:id="11"/>
    </w:p>
    <w:p>
      <w:pPr>
        <w:pStyle w:val="16"/>
        <w:widowControl/>
        <w:shd w:val="clear" w:color="auto" w:fill="FFFFFF"/>
        <w:adjustRightInd w:val="0"/>
        <w:snapToGrid w:val="0"/>
        <w:spacing w:line="500" w:lineRule="exact"/>
        <w:ind w:firstLine="480"/>
        <w:textAlignment w:val="baseline"/>
        <w:rPr>
          <w:rFonts w:ascii="宋体" w:hAnsi="宋体" w:cs="宋体"/>
          <w:kern w:val="0"/>
          <w:sz w:val="21"/>
          <w:szCs w:val="21"/>
          <w:lang w:val="zh-CN" w:bidi="zh-CN"/>
        </w:rPr>
      </w:pPr>
      <w:r>
        <w:rPr>
          <w:rFonts w:hint="eastAsia" w:ascii="宋体" w:hAnsi="宋体" w:cs="宋体"/>
          <w:kern w:val="0"/>
          <w:sz w:val="21"/>
          <w:szCs w:val="21"/>
          <w:lang w:val="zh-CN" w:bidi="zh-CN"/>
        </w:rPr>
        <w:t>截止时间：</w:t>
      </w:r>
      <w:r>
        <w:rPr>
          <w:rFonts w:ascii="宋体" w:hAnsi="宋体" w:cs="宋体"/>
          <w:kern w:val="0"/>
          <w:sz w:val="21"/>
          <w:szCs w:val="21"/>
          <w:lang w:val="zh-CN" w:bidi="zh-CN"/>
        </w:rPr>
        <w:t>202</w:t>
      </w:r>
      <w:r>
        <w:rPr>
          <w:rFonts w:hint="eastAsia" w:ascii="宋体" w:hAnsi="宋体" w:cs="宋体"/>
          <w:kern w:val="0"/>
          <w:sz w:val="21"/>
          <w:szCs w:val="21"/>
          <w:lang w:bidi="zh-CN"/>
        </w:rPr>
        <w:t>4</w:t>
      </w:r>
      <w:r>
        <w:rPr>
          <w:rFonts w:hint="eastAsia" w:ascii="宋体" w:hAnsi="宋体" w:cs="宋体"/>
          <w:kern w:val="0"/>
          <w:sz w:val="21"/>
          <w:szCs w:val="21"/>
          <w:lang w:val="zh-CN" w:bidi="zh-CN"/>
        </w:rPr>
        <w:t>年</w:t>
      </w:r>
      <w:r>
        <w:rPr>
          <w:rFonts w:hint="eastAsia" w:ascii="宋体" w:hAnsi="宋体" w:cs="宋体"/>
          <w:kern w:val="0"/>
          <w:sz w:val="21"/>
          <w:szCs w:val="21"/>
          <w:u w:val="single"/>
          <w:lang w:val="en-US" w:bidi="zh-CN"/>
        </w:rPr>
        <w:t>2</w:t>
      </w:r>
      <w:r>
        <w:rPr>
          <w:rFonts w:hint="eastAsia" w:ascii="宋体" w:hAnsi="宋体" w:cs="宋体"/>
          <w:kern w:val="0"/>
          <w:sz w:val="21"/>
          <w:szCs w:val="21"/>
          <w:lang w:val="zh-CN" w:bidi="zh-CN"/>
        </w:rPr>
        <w:t>月</w:t>
      </w:r>
      <w:r>
        <w:rPr>
          <w:rFonts w:hint="eastAsia" w:ascii="宋体" w:hAnsi="宋体" w:cs="宋体"/>
          <w:kern w:val="0"/>
          <w:sz w:val="21"/>
          <w:szCs w:val="21"/>
          <w:u w:val="single"/>
          <w:lang w:val="en-US" w:bidi="zh-CN"/>
        </w:rPr>
        <w:t>22</w:t>
      </w:r>
      <w:r>
        <w:rPr>
          <w:rFonts w:hint="eastAsia" w:ascii="宋体" w:hAnsi="宋体" w:cs="宋体"/>
          <w:kern w:val="0"/>
          <w:sz w:val="21"/>
          <w:szCs w:val="21"/>
          <w:lang w:val="zh-CN" w:bidi="zh-CN"/>
        </w:rPr>
        <w:t>日</w:t>
      </w:r>
      <w:r>
        <w:rPr>
          <w:rFonts w:ascii="宋体" w:hAnsi="宋体" w:cs="宋体"/>
          <w:kern w:val="0"/>
          <w:sz w:val="21"/>
          <w:szCs w:val="21"/>
          <w:lang w:val="zh-CN" w:bidi="zh-CN"/>
        </w:rPr>
        <w:t>10时00分00秒（北京时间）</w:t>
      </w:r>
    </w:p>
    <w:p>
      <w:pPr>
        <w:pStyle w:val="16"/>
        <w:widowControl/>
        <w:shd w:val="clear" w:color="auto" w:fill="FFFFFF"/>
        <w:adjustRightInd w:val="0"/>
        <w:snapToGrid w:val="0"/>
        <w:spacing w:line="500" w:lineRule="exact"/>
        <w:ind w:firstLine="480"/>
        <w:textAlignment w:val="baseline"/>
        <w:rPr>
          <w:rFonts w:ascii="宋体" w:hAnsi="宋体" w:cs="宋体"/>
          <w:b/>
          <w:bCs/>
          <w:kern w:val="0"/>
          <w:sz w:val="21"/>
          <w:szCs w:val="21"/>
          <w:lang w:val="zh-CN" w:bidi="zh-CN"/>
        </w:rPr>
      </w:pPr>
      <w:r>
        <w:rPr>
          <w:rFonts w:hint="eastAsia" w:ascii="宋体" w:hAnsi="宋体" w:cs="宋体"/>
          <w:kern w:val="0"/>
          <w:sz w:val="21"/>
          <w:szCs w:val="21"/>
          <w:lang w:val="zh-CN" w:bidi="zh-CN"/>
        </w:rPr>
        <w:t>地点：</w:t>
      </w:r>
      <w:r>
        <w:rPr>
          <w:rFonts w:hint="eastAsia" w:ascii="宋体" w:hAnsi="宋体" w:cs="宋体"/>
          <w:sz w:val="21"/>
          <w:szCs w:val="21"/>
        </w:rPr>
        <w:t>佛山市三水区乐平镇新城大道北5号旁（行政服务中心3楼乐平镇公共资源交易所）</w:t>
      </w:r>
    </w:p>
    <w:p>
      <w:pPr>
        <w:pStyle w:val="5"/>
        <w:widowControl/>
        <w:shd w:val="clear" w:color="auto" w:fill="FFFFFF"/>
        <w:adjustRightInd w:val="0"/>
        <w:snapToGrid w:val="0"/>
        <w:spacing w:beforeAutospacing="0" w:afterAutospacing="0" w:line="500" w:lineRule="exact"/>
        <w:ind w:firstLine="422" w:firstLineChars="200"/>
        <w:jc w:val="both"/>
        <w:textAlignment w:val="baseline"/>
        <w:rPr>
          <w:rFonts w:hint="default" w:cs="宋体"/>
          <w:b w:val="0"/>
          <w:bCs w:val="0"/>
        </w:rPr>
      </w:pPr>
      <w:r>
        <w:rPr>
          <w:rFonts w:cs="宋体"/>
          <w:sz w:val="21"/>
          <w:szCs w:val="21"/>
          <w:lang w:val="zh-CN" w:bidi="zh-CN"/>
        </w:rPr>
        <w:t>五、开启</w:t>
      </w:r>
    </w:p>
    <w:p>
      <w:pPr>
        <w:pStyle w:val="16"/>
        <w:widowControl/>
        <w:shd w:val="clear" w:color="auto" w:fill="FFFFFF"/>
        <w:adjustRightInd w:val="0"/>
        <w:snapToGrid w:val="0"/>
        <w:spacing w:line="500" w:lineRule="exact"/>
        <w:ind w:firstLine="480"/>
        <w:textAlignment w:val="baseline"/>
        <w:rPr>
          <w:rFonts w:ascii="宋体" w:hAnsi="宋体" w:cs="宋体"/>
          <w:kern w:val="0"/>
          <w:sz w:val="21"/>
          <w:szCs w:val="21"/>
          <w:lang w:val="zh-CN" w:bidi="zh-CN"/>
        </w:rPr>
      </w:pPr>
      <w:r>
        <w:rPr>
          <w:rFonts w:hint="eastAsia" w:ascii="宋体" w:hAnsi="宋体" w:cs="宋体"/>
          <w:kern w:val="0"/>
          <w:sz w:val="21"/>
          <w:szCs w:val="21"/>
          <w:lang w:val="zh-CN" w:bidi="zh-CN"/>
        </w:rPr>
        <w:t>时间：</w:t>
      </w:r>
      <w:r>
        <w:rPr>
          <w:rFonts w:ascii="宋体" w:hAnsi="宋体" w:cs="宋体"/>
          <w:kern w:val="0"/>
          <w:sz w:val="21"/>
          <w:szCs w:val="21"/>
          <w:lang w:val="zh-CN" w:bidi="zh-CN"/>
        </w:rPr>
        <w:t>202</w:t>
      </w:r>
      <w:r>
        <w:rPr>
          <w:rFonts w:hint="eastAsia" w:ascii="宋体" w:hAnsi="宋体" w:cs="宋体"/>
          <w:kern w:val="0"/>
          <w:sz w:val="21"/>
          <w:szCs w:val="21"/>
          <w:lang w:bidi="zh-CN"/>
        </w:rPr>
        <w:t>4</w:t>
      </w:r>
      <w:r>
        <w:rPr>
          <w:rFonts w:hint="eastAsia" w:ascii="宋体" w:hAnsi="宋体" w:cs="宋体"/>
          <w:kern w:val="0"/>
          <w:sz w:val="21"/>
          <w:szCs w:val="21"/>
          <w:lang w:val="zh-CN" w:bidi="zh-CN"/>
        </w:rPr>
        <w:t>年</w:t>
      </w:r>
      <w:r>
        <w:rPr>
          <w:rFonts w:hint="eastAsia" w:ascii="宋体" w:hAnsi="宋体" w:cs="宋体"/>
          <w:kern w:val="0"/>
          <w:sz w:val="21"/>
          <w:szCs w:val="21"/>
          <w:u w:val="single"/>
          <w:lang w:val="en-US" w:bidi="zh-CN"/>
        </w:rPr>
        <w:t>2</w:t>
      </w:r>
      <w:r>
        <w:rPr>
          <w:rFonts w:hint="eastAsia" w:ascii="宋体" w:hAnsi="宋体" w:cs="宋体"/>
          <w:kern w:val="0"/>
          <w:sz w:val="21"/>
          <w:szCs w:val="21"/>
          <w:lang w:val="zh-CN" w:bidi="zh-CN"/>
        </w:rPr>
        <w:t>月</w:t>
      </w:r>
      <w:r>
        <w:rPr>
          <w:rFonts w:hint="eastAsia" w:ascii="宋体" w:hAnsi="宋体" w:cs="宋体"/>
          <w:kern w:val="0"/>
          <w:sz w:val="21"/>
          <w:szCs w:val="21"/>
          <w:u w:val="single"/>
          <w:lang w:val="en-US" w:bidi="zh-CN"/>
        </w:rPr>
        <w:t>22</w:t>
      </w:r>
      <w:r>
        <w:rPr>
          <w:rFonts w:hint="eastAsia" w:ascii="宋体" w:hAnsi="宋体" w:cs="宋体"/>
          <w:kern w:val="0"/>
          <w:sz w:val="21"/>
          <w:szCs w:val="21"/>
          <w:lang w:val="zh-CN" w:bidi="zh-CN"/>
        </w:rPr>
        <w:t>日</w:t>
      </w:r>
      <w:r>
        <w:rPr>
          <w:rFonts w:ascii="宋体" w:hAnsi="宋体" w:cs="宋体"/>
          <w:kern w:val="0"/>
          <w:sz w:val="21"/>
          <w:szCs w:val="21"/>
          <w:lang w:val="zh-CN" w:bidi="zh-CN"/>
        </w:rPr>
        <w:t>10时00分00秒（北京时间）</w:t>
      </w:r>
    </w:p>
    <w:p>
      <w:pPr>
        <w:pStyle w:val="16"/>
        <w:widowControl/>
        <w:shd w:val="clear" w:color="auto" w:fill="FFFFFF"/>
        <w:adjustRightInd w:val="0"/>
        <w:snapToGrid w:val="0"/>
        <w:spacing w:line="500" w:lineRule="exact"/>
        <w:ind w:firstLine="480"/>
        <w:textAlignment w:val="baseline"/>
        <w:rPr>
          <w:rFonts w:ascii="宋体" w:hAnsi="宋体" w:cs="宋体"/>
          <w:kern w:val="0"/>
          <w:sz w:val="21"/>
          <w:szCs w:val="21"/>
          <w:lang w:val="zh-CN" w:bidi="zh-CN"/>
        </w:rPr>
      </w:pPr>
      <w:r>
        <w:rPr>
          <w:rFonts w:hint="eastAsia" w:ascii="宋体" w:hAnsi="宋体" w:cs="宋体"/>
          <w:kern w:val="0"/>
          <w:sz w:val="21"/>
          <w:szCs w:val="21"/>
          <w:lang w:val="zh-CN" w:bidi="zh-CN"/>
        </w:rPr>
        <w:t>地点：</w:t>
      </w:r>
      <w:r>
        <w:rPr>
          <w:rFonts w:hint="eastAsia" w:ascii="宋体" w:hAnsi="宋体" w:cs="宋体"/>
          <w:sz w:val="21"/>
          <w:szCs w:val="21"/>
        </w:rPr>
        <w:t>佛山市三水区乐平镇新城大道北5号旁（行政服务中心3楼乐平镇公共资源交易所）</w:t>
      </w:r>
    </w:p>
    <w:p>
      <w:pPr>
        <w:pStyle w:val="5"/>
        <w:widowControl/>
        <w:shd w:val="clear" w:color="auto" w:fill="FFFFFF"/>
        <w:adjustRightInd w:val="0"/>
        <w:snapToGrid w:val="0"/>
        <w:spacing w:beforeAutospacing="0" w:afterAutospacing="0" w:line="500" w:lineRule="exact"/>
        <w:ind w:firstLine="422" w:firstLineChars="200"/>
        <w:jc w:val="both"/>
        <w:textAlignment w:val="baseline"/>
        <w:rPr>
          <w:rFonts w:hint="default" w:cs="宋体"/>
          <w:sz w:val="21"/>
          <w:szCs w:val="21"/>
          <w:lang w:val="zh-CN" w:bidi="zh-CN"/>
        </w:rPr>
      </w:pPr>
      <w:r>
        <w:rPr>
          <w:rFonts w:cs="宋体"/>
          <w:sz w:val="21"/>
          <w:szCs w:val="21"/>
          <w:lang w:val="zh-CN" w:bidi="zh-CN"/>
        </w:rPr>
        <w:t>六、公告期限</w:t>
      </w:r>
    </w:p>
    <w:p>
      <w:pPr>
        <w:pStyle w:val="16"/>
        <w:widowControl/>
        <w:shd w:val="clear" w:color="auto" w:fill="FFFFFF"/>
        <w:adjustRightInd w:val="0"/>
        <w:snapToGrid w:val="0"/>
        <w:spacing w:line="500" w:lineRule="exact"/>
        <w:ind w:firstLine="480"/>
        <w:textAlignment w:val="baseline"/>
        <w:rPr>
          <w:rFonts w:ascii="宋体" w:hAnsi="宋体" w:cs="宋体"/>
          <w:kern w:val="0"/>
          <w:sz w:val="21"/>
          <w:szCs w:val="21"/>
          <w:lang w:val="zh-CN" w:bidi="zh-CN"/>
        </w:rPr>
      </w:pPr>
      <w:r>
        <w:rPr>
          <w:rFonts w:hint="eastAsia" w:ascii="宋体" w:hAnsi="宋体" w:cs="宋体"/>
          <w:kern w:val="0"/>
          <w:sz w:val="21"/>
          <w:szCs w:val="21"/>
          <w:lang w:val="zh-CN" w:bidi="zh-CN"/>
        </w:rPr>
        <w:t>自本公告发布之日起</w:t>
      </w:r>
      <w:r>
        <w:rPr>
          <w:rFonts w:ascii="宋体" w:hAnsi="宋体" w:cs="宋体"/>
          <w:kern w:val="0"/>
          <w:sz w:val="21"/>
          <w:szCs w:val="21"/>
          <w:lang w:val="zh-CN" w:bidi="zh-CN"/>
        </w:rPr>
        <w:t>3个工作日。</w:t>
      </w:r>
    </w:p>
    <w:p>
      <w:pPr>
        <w:pStyle w:val="16"/>
        <w:widowControl/>
        <w:shd w:val="clear" w:color="auto" w:fill="FFFFFF"/>
        <w:adjustRightInd w:val="0"/>
        <w:snapToGrid w:val="0"/>
        <w:spacing w:line="500" w:lineRule="exact"/>
        <w:ind w:firstLine="877" w:firstLineChars="418"/>
        <w:textAlignment w:val="baseline"/>
        <w:rPr>
          <w:rFonts w:ascii="宋体" w:hAnsi="宋体" w:cs="宋体"/>
          <w:kern w:val="0"/>
          <w:sz w:val="21"/>
          <w:szCs w:val="21"/>
          <w:lang w:val="zh-CN" w:bidi="zh-CN"/>
        </w:rPr>
      </w:pPr>
      <w:r>
        <w:rPr>
          <w:rFonts w:hint="eastAsia" w:ascii="宋体" w:hAnsi="宋体" w:cs="宋体"/>
          <w:kern w:val="0"/>
          <w:sz w:val="21"/>
          <w:szCs w:val="21"/>
          <w:lang w:val="zh-CN" w:bidi="zh-CN"/>
        </w:rPr>
        <w:t>本项目的所有相关公告在中国政府采购网（</w:t>
      </w:r>
      <w:r>
        <w:rPr>
          <w:rFonts w:ascii="宋体" w:hAnsi="宋体" w:cs="宋体"/>
          <w:kern w:val="0"/>
          <w:sz w:val="21"/>
          <w:szCs w:val="21"/>
          <w:lang w:val="zh-CN" w:bidi="zh-CN"/>
        </w:rPr>
        <w:t>http://www.ccgp.gov.cn/）、佛山市三水区人民政府网-乐平镇公共资源交易信息网（http://www.ss.gov.cn/gzjg/ssqlpz/ggzyjy/）、</w:t>
      </w:r>
      <w:r>
        <w:rPr>
          <w:rFonts w:hint="eastAsia" w:ascii="宋体" w:hAnsi="宋体" w:cs="宋体"/>
          <w:kern w:val="0"/>
          <w:sz w:val="21"/>
          <w:szCs w:val="21"/>
          <w:lang w:bidi="zh-CN"/>
        </w:rPr>
        <w:t>广东华盈工程管理有限公司（http://www.gdhygc.cn/</w:t>
      </w:r>
      <w:r>
        <w:rPr>
          <w:rFonts w:ascii="宋体" w:hAnsi="宋体" w:cs="宋体"/>
          <w:kern w:val="0"/>
          <w:sz w:val="21"/>
          <w:szCs w:val="21"/>
          <w:lang w:bidi="zh-CN"/>
        </w:rPr>
        <w:t>）</w:t>
      </w:r>
      <w:r>
        <w:rPr>
          <w:rFonts w:hint="eastAsia" w:ascii="宋体" w:hAnsi="宋体" w:cs="宋体"/>
          <w:kern w:val="0"/>
          <w:sz w:val="21"/>
          <w:szCs w:val="21"/>
          <w:lang w:val="zh-CN" w:bidi="zh-CN"/>
        </w:rPr>
        <w:t>上公布，公布之日即视为有效送达之日，不再另行通知。</w:t>
      </w:r>
      <w:r>
        <w:rPr>
          <w:rFonts w:ascii="宋体" w:hAnsi="宋体" w:cs="宋体"/>
          <w:kern w:val="0"/>
          <w:sz w:val="21"/>
          <w:szCs w:val="21"/>
          <w:lang w:val="zh-CN" w:bidi="zh-CN"/>
        </w:rPr>
        <w:t xml:space="preserve"> </w:t>
      </w:r>
    </w:p>
    <w:p>
      <w:pPr>
        <w:adjustRightInd w:val="0"/>
        <w:snapToGrid w:val="0"/>
        <w:spacing w:after="60" w:afterLines="25" w:line="500" w:lineRule="exact"/>
        <w:ind w:firstLine="422" w:firstLineChars="200"/>
        <w:outlineLvl w:val="1"/>
        <w:rPr>
          <w:b/>
          <w:bCs/>
          <w:sz w:val="21"/>
          <w:szCs w:val="21"/>
        </w:rPr>
      </w:pPr>
      <w:bookmarkStart w:id="12" w:name="_Toc14836"/>
      <w:r>
        <w:rPr>
          <w:rFonts w:hint="eastAsia"/>
          <w:b/>
          <w:bCs/>
          <w:sz w:val="21"/>
          <w:szCs w:val="21"/>
        </w:rPr>
        <w:t>七、</w:t>
      </w:r>
      <w:bookmarkEnd w:id="10"/>
      <w:r>
        <w:rPr>
          <w:rFonts w:hint="eastAsia"/>
          <w:b/>
          <w:bCs/>
          <w:sz w:val="21"/>
          <w:szCs w:val="21"/>
        </w:rPr>
        <w:t>凡对本次采购提出询问，请按以下方式联系</w:t>
      </w:r>
      <w:bookmarkEnd w:id="12"/>
    </w:p>
    <w:p>
      <w:pPr>
        <w:adjustRightInd w:val="0"/>
        <w:snapToGrid w:val="0"/>
        <w:spacing w:after="60" w:afterLines="25" w:line="500" w:lineRule="exact"/>
        <w:ind w:firstLine="420" w:firstLineChars="200"/>
        <w:rPr>
          <w:sz w:val="21"/>
          <w:szCs w:val="21"/>
        </w:rPr>
      </w:pPr>
      <w:bookmarkStart w:id="13" w:name="_Toc23714_WPSOffice_Level3"/>
      <w:bookmarkStart w:id="14" w:name="_Toc17972_WPSOffice_Level3"/>
      <w:r>
        <w:rPr>
          <w:sz w:val="21"/>
          <w:szCs w:val="21"/>
        </w:rPr>
        <w:t>1、采购人信息：</w:t>
      </w:r>
      <w:bookmarkEnd w:id="13"/>
    </w:p>
    <w:p>
      <w:pPr>
        <w:adjustRightInd w:val="0"/>
        <w:snapToGrid w:val="0"/>
        <w:spacing w:after="60" w:afterLines="25" w:line="500" w:lineRule="exact"/>
        <w:ind w:firstLine="735" w:firstLineChars="350"/>
        <w:rPr>
          <w:sz w:val="21"/>
          <w:szCs w:val="21"/>
        </w:rPr>
      </w:pPr>
      <w:r>
        <w:rPr>
          <w:rFonts w:hint="eastAsia"/>
          <w:sz w:val="21"/>
          <w:szCs w:val="21"/>
        </w:rPr>
        <w:t>采购人名称：佛山市三水海江怡乐建设投资有限公司</w:t>
      </w:r>
    </w:p>
    <w:p>
      <w:pPr>
        <w:adjustRightInd w:val="0"/>
        <w:snapToGrid w:val="0"/>
        <w:spacing w:after="60" w:afterLines="25" w:line="500" w:lineRule="exact"/>
        <w:ind w:firstLine="735" w:firstLineChars="350"/>
        <w:rPr>
          <w:sz w:val="21"/>
          <w:szCs w:val="21"/>
          <w:lang w:val="en-US"/>
        </w:rPr>
      </w:pPr>
      <w:r>
        <w:rPr>
          <w:rFonts w:hint="eastAsia"/>
          <w:sz w:val="21"/>
          <w:szCs w:val="21"/>
        </w:rPr>
        <w:t>采购人地址：佛山市三水区乐平镇齐力大道北</w:t>
      </w:r>
      <w:r>
        <w:rPr>
          <w:sz w:val="21"/>
          <w:szCs w:val="21"/>
        </w:rPr>
        <w:t>2号玖玥华园15座（摘星楼）2楼</w:t>
      </w:r>
    </w:p>
    <w:p>
      <w:pPr>
        <w:adjustRightInd w:val="0"/>
        <w:snapToGrid w:val="0"/>
        <w:spacing w:after="60" w:afterLines="25" w:line="500" w:lineRule="exact"/>
        <w:ind w:firstLine="735" w:firstLineChars="350"/>
        <w:jc w:val="both"/>
        <w:rPr>
          <w:sz w:val="21"/>
          <w:szCs w:val="21"/>
        </w:rPr>
      </w:pPr>
      <w:r>
        <w:rPr>
          <w:rFonts w:hint="eastAsia"/>
          <w:sz w:val="21"/>
          <w:szCs w:val="21"/>
        </w:rPr>
        <w:t>采购人联系人：</w:t>
      </w:r>
      <w:r>
        <w:rPr>
          <w:rFonts w:hint="eastAsia"/>
          <w:sz w:val="21"/>
          <w:szCs w:val="21"/>
          <w:lang w:val="en-US"/>
        </w:rPr>
        <w:t>彭</w:t>
      </w:r>
      <w:r>
        <w:rPr>
          <w:rFonts w:hint="eastAsia"/>
          <w:sz w:val="21"/>
          <w:szCs w:val="21"/>
        </w:rPr>
        <w:t>先生</w:t>
      </w:r>
      <w:r>
        <w:rPr>
          <w:sz w:val="21"/>
          <w:szCs w:val="21"/>
        </w:rPr>
        <w:t xml:space="preserve"> </w:t>
      </w:r>
    </w:p>
    <w:p>
      <w:pPr>
        <w:adjustRightInd w:val="0"/>
        <w:snapToGrid w:val="0"/>
        <w:spacing w:after="60" w:afterLines="25" w:line="500" w:lineRule="exact"/>
        <w:ind w:firstLine="735" w:firstLineChars="350"/>
        <w:jc w:val="both"/>
        <w:rPr>
          <w:sz w:val="21"/>
          <w:szCs w:val="21"/>
          <w:lang w:val="en-US"/>
        </w:rPr>
      </w:pPr>
      <w:r>
        <w:rPr>
          <w:rFonts w:hint="eastAsia"/>
          <w:sz w:val="21"/>
          <w:szCs w:val="21"/>
        </w:rPr>
        <w:t>联系电话：</w:t>
      </w:r>
      <w:r>
        <w:rPr>
          <w:sz w:val="21"/>
          <w:szCs w:val="21"/>
        </w:rPr>
        <w:t xml:space="preserve">0757-87393975 </w:t>
      </w:r>
    </w:p>
    <w:p>
      <w:pPr>
        <w:pStyle w:val="8"/>
        <w:tabs>
          <w:tab w:val="left" w:pos="4979"/>
        </w:tabs>
        <w:adjustRightInd w:val="0"/>
        <w:snapToGrid w:val="0"/>
        <w:spacing w:after="60" w:afterLines="25" w:line="500" w:lineRule="exact"/>
        <w:ind w:right="2767" w:firstLine="420" w:firstLineChars="200"/>
      </w:pPr>
      <w:r>
        <w:t>2、</w:t>
      </w:r>
      <w:r>
        <w:rPr>
          <w:rFonts w:hint="eastAsia"/>
          <w:spacing w:val="-3"/>
        </w:rPr>
        <w:t>采</w:t>
      </w:r>
      <w:r>
        <w:rPr>
          <w:rFonts w:hint="eastAsia"/>
        </w:rPr>
        <w:t>购</w:t>
      </w:r>
      <w:r>
        <w:rPr>
          <w:rFonts w:hint="eastAsia"/>
          <w:spacing w:val="-3"/>
        </w:rPr>
        <w:t>代</w:t>
      </w:r>
      <w:r>
        <w:rPr>
          <w:rFonts w:hint="eastAsia"/>
        </w:rPr>
        <w:t>理</w:t>
      </w:r>
      <w:r>
        <w:rPr>
          <w:rFonts w:hint="eastAsia"/>
          <w:spacing w:val="-3"/>
        </w:rPr>
        <w:t>机</w:t>
      </w:r>
      <w:r>
        <w:rPr>
          <w:rFonts w:hint="eastAsia"/>
        </w:rPr>
        <w:t>构信息：</w:t>
      </w:r>
      <w:bookmarkEnd w:id="14"/>
    </w:p>
    <w:p>
      <w:pPr>
        <w:adjustRightInd w:val="0"/>
        <w:snapToGrid w:val="0"/>
        <w:spacing w:after="60" w:afterLines="25" w:line="500" w:lineRule="exact"/>
        <w:ind w:firstLine="735" w:firstLineChars="350"/>
        <w:rPr>
          <w:sz w:val="21"/>
          <w:szCs w:val="21"/>
        </w:rPr>
      </w:pPr>
      <w:r>
        <w:rPr>
          <w:rFonts w:hint="eastAsia"/>
          <w:sz w:val="21"/>
          <w:szCs w:val="21"/>
        </w:rPr>
        <w:t>采购代理机构名称：广东华盈工程管理有限公司</w:t>
      </w:r>
    </w:p>
    <w:p>
      <w:pPr>
        <w:adjustRightInd w:val="0"/>
        <w:snapToGrid w:val="0"/>
        <w:spacing w:after="60" w:afterLines="25" w:line="500" w:lineRule="exact"/>
        <w:ind w:firstLine="735" w:firstLineChars="350"/>
        <w:rPr>
          <w:sz w:val="21"/>
          <w:szCs w:val="21"/>
        </w:rPr>
      </w:pPr>
      <w:r>
        <w:rPr>
          <w:rFonts w:hint="eastAsia"/>
          <w:sz w:val="21"/>
          <w:szCs w:val="21"/>
        </w:rPr>
        <w:t>采购代理机构地址：佛山市三水区云东海街道鲁村路</w:t>
      </w:r>
      <w:r>
        <w:rPr>
          <w:sz w:val="21"/>
          <w:szCs w:val="21"/>
        </w:rPr>
        <w:t xml:space="preserve">12号文都汇T4栋4F </w:t>
      </w:r>
    </w:p>
    <w:p>
      <w:pPr>
        <w:adjustRightInd w:val="0"/>
        <w:snapToGrid w:val="0"/>
        <w:spacing w:after="60" w:afterLines="25" w:line="500" w:lineRule="exact"/>
        <w:ind w:firstLine="735" w:firstLineChars="350"/>
        <w:rPr>
          <w:sz w:val="21"/>
          <w:szCs w:val="21"/>
          <w:lang w:val="en-US"/>
        </w:rPr>
      </w:pPr>
      <w:r>
        <w:rPr>
          <w:rFonts w:hint="eastAsia"/>
          <w:sz w:val="21"/>
          <w:szCs w:val="21"/>
        </w:rPr>
        <w:t>采购代理机构联系电话：</w:t>
      </w:r>
      <w:r>
        <w:rPr>
          <w:sz w:val="21"/>
          <w:szCs w:val="21"/>
        </w:rPr>
        <w:t xml:space="preserve">0757-87787910 </w:t>
      </w:r>
    </w:p>
    <w:p>
      <w:pPr>
        <w:adjustRightInd w:val="0"/>
        <w:snapToGrid w:val="0"/>
        <w:spacing w:after="60" w:afterLines="25" w:line="500" w:lineRule="exact"/>
        <w:ind w:firstLine="420" w:firstLineChars="200"/>
        <w:rPr>
          <w:sz w:val="21"/>
          <w:szCs w:val="21"/>
          <w:lang w:val="en-US"/>
        </w:rPr>
      </w:pPr>
      <w:r>
        <w:rPr>
          <w:sz w:val="21"/>
          <w:szCs w:val="21"/>
          <w:lang w:val="en-US"/>
        </w:rPr>
        <w:t>3、项目联系方式</w:t>
      </w:r>
    </w:p>
    <w:p>
      <w:pPr>
        <w:adjustRightInd w:val="0"/>
        <w:snapToGrid w:val="0"/>
        <w:spacing w:after="60" w:afterLines="25" w:line="500" w:lineRule="exact"/>
        <w:ind w:firstLine="735" w:firstLineChars="350"/>
        <w:rPr>
          <w:sz w:val="21"/>
          <w:szCs w:val="21"/>
          <w:lang w:val="en-US"/>
        </w:rPr>
      </w:pPr>
      <w:r>
        <w:rPr>
          <w:rFonts w:hint="eastAsia"/>
          <w:sz w:val="21"/>
          <w:szCs w:val="21"/>
        </w:rPr>
        <w:t>采购代理机构联系人：</w:t>
      </w:r>
      <w:r>
        <w:rPr>
          <w:rFonts w:hint="eastAsia"/>
          <w:sz w:val="21"/>
          <w:szCs w:val="21"/>
          <w:lang w:val="en-US"/>
        </w:rPr>
        <w:t>谢先生、李小姐</w:t>
      </w:r>
    </w:p>
    <w:p>
      <w:pPr>
        <w:adjustRightInd w:val="0"/>
        <w:snapToGrid w:val="0"/>
        <w:spacing w:after="60" w:afterLines="25" w:line="500" w:lineRule="exact"/>
        <w:ind w:firstLine="735" w:firstLineChars="350"/>
        <w:rPr>
          <w:sz w:val="21"/>
          <w:szCs w:val="21"/>
        </w:rPr>
      </w:pPr>
      <w:r>
        <w:rPr>
          <w:rFonts w:hint="eastAsia"/>
          <w:sz w:val="21"/>
          <w:szCs w:val="21"/>
        </w:rPr>
        <w:t>采购代理机构联系电话：</w:t>
      </w:r>
      <w:r>
        <w:rPr>
          <w:sz w:val="21"/>
          <w:szCs w:val="21"/>
          <w:lang w:val="en-US"/>
        </w:rPr>
        <w:t>0757-87787910</w:t>
      </w:r>
      <w:r>
        <w:rPr>
          <w:sz w:val="21"/>
          <w:szCs w:val="21"/>
        </w:rPr>
        <w:t xml:space="preserve"> </w:t>
      </w:r>
    </w:p>
    <w:p>
      <w:pPr>
        <w:adjustRightInd w:val="0"/>
        <w:snapToGrid w:val="0"/>
        <w:spacing w:after="60" w:afterLines="25" w:line="500" w:lineRule="exact"/>
        <w:ind w:firstLine="735" w:firstLineChars="350"/>
        <w:rPr>
          <w:sz w:val="21"/>
          <w:szCs w:val="21"/>
        </w:rPr>
      </w:pPr>
      <w:r>
        <w:rPr>
          <w:rFonts w:hint="eastAsia"/>
          <w:sz w:val="21"/>
          <w:szCs w:val="21"/>
          <w:lang w:val="en-US"/>
        </w:rPr>
        <w:t>邮箱</w:t>
      </w:r>
      <w:r>
        <w:fldChar w:fldCharType="begin"/>
      </w:r>
      <w:r>
        <w:instrText xml:space="preserve"> HYPERLINK "mailto:2051757078@qq.com" \h </w:instrText>
      </w:r>
      <w:r>
        <w:fldChar w:fldCharType="separate"/>
      </w:r>
      <w:r>
        <w:rPr>
          <w:rFonts w:hint="eastAsia"/>
          <w:sz w:val="21"/>
          <w:szCs w:val="21"/>
        </w:rPr>
        <w:t>：</w:t>
      </w:r>
      <w:r>
        <w:rPr>
          <w:sz w:val="21"/>
          <w:szCs w:val="21"/>
          <w:lang w:val="en-US"/>
        </w:rPr>
        <w:t>gdhygcglyxgs@126</w:t>
      </w:r>
      <w:r>
        <w:rPr>
          <w:sz w:val="21"/>
          <w:szCs w:val="21"/>
        </w:rPr>
        <w:t>.com</w:t>
      </w:r>
      <w:r>
        <w:rPr>
          <w:sz w:val="21"/>
          <w:szCs w:val="21"/>
        </w:rPr>
        <w:fldChar w:fldCharType="end"/>
      </w:r>
    </w:p>
    <w:p>
      <w:pPr>
        <w:pStyle w:val="8"/>
        <w:tabs>
          <w:tab w:val="left" w:pos="7447"/>
          <w:tab w:val="left" w:pos="7973"/>
        </w:tabs>
        <w:adjustRightInd w:val="0"/>
        <w:snapToGrid w:val="0"/>
        <w:spacing w:before="1" w:line="500" w:lineRule="exact"/>
        <w:ind w:right="1183"/>
        <w:jc w:val="right"/>
      </w:pPr>
    </w:p>
    <w:p>
      <w:pPr>
        <w:pStyle w:val="8"/>
        <w:tabs>
          <w:tab w:val="left" w:pos="7447"/>
          <w:tab w:val="left" w:pos="7973"/>
        </w:tabs>
        <w:adjustRightInd w:val="0"/>
        <w:snapToGrid w:val="0"/>
        <w:spacing w:before="1" w:line="500" w:lineRule="exact"/>
        <w:ind w:right="1183"/>
        <w:jc w:val="right"/>
        <w:rPr>
          <w:spacing w:val="-14"/>
        </w:rPr>
      </w:pPr>
      <w:r>
        <w:rPr>
          <w:rFonts w:hint="eastAsia"/>
        </w:rPr>
        <w:t>广东华盈工程管理有限公司</w:t>
      </w:r>
    </w:p>
    <w:p>
      <w:pPr>
        <w:pStyle w:val="8"/>
        <w:tabs>
          <w:tab w:val="left" w:pos="7447"/>
          <w:tab w:val="left" w:pos="7973"/>
        </w:tabs>
        <w:adjustRightInd w:val="0"/>
        <w:snapToGrid w:val="0"/>
        <w:spacing w:before="1" w:line="500" w:lineRule="exact"/>
        <w:ind w:right="1183"/>
        <w:jc w:val="right"/>
      </w:pPr>
      <w:r>
        <w:t>202</w:t>
      </w:r>
      <w:r>
        <w:rPr>
          <w:rFonts w:hint="eastAsia"/>
          <w:lang w:val="en-US"/>
        </w:rPr>
        <w:t>4</w:t>
      </w:r>
      <w:r>
        <w:rPr>
          <w:rFonts w:hint="eastAsia"/>
        </w:rPr>
        <w:t>年</w:t>
      </w:r>
      <w:r>
        <w:rPr>
          <w:rFonts w:hint="eastAsia"/>
          <w:u w:val="single"/>
          <w:lang w:val="en-US" w:eastAsia="zh-CN"/>
        </w:rPr>
        <w:t>2</w:t>
      </w:r>
      <w:r>
        <w:rPr>
          <w:rFonts w:hint="eastAsia"/>
        </w:rPr>
        <w:t>月</w:t>
      </w:r>
      <w:r>
        <w:rPr>
          <w:rFonts w:hint="eastAsia"/>
          <w:u w:val="single"/>
          <w:lang w:val="en-US" w:eastAsia="zh-CN"/>
        </w:rPr>
        <w:t>2</w:t>
      </w:r>
      <w:r>
        <w:rPr>
          <w:rFonts w:hint="eastAsia"/>
        </w:rPr>
        <w:t>日</w:t>
      </w:r>
    </w:p>
    <w:p>
      <w:pPr>
        <w:spacing w:line="288" w:lineRule="auto"/>
        <w:rPr>
          <w:sz w:val="21"/>
          <w:szCs w:val="21"/>
        </w:rPr>
        <w:sectPr>
          <w:pgSz w:w="11910" w:h="16840"/>
          <w:pgMar w:top="1440" w:right="1080" w:bottom="1440" w:left="1080" w:header="945" w:footer="893" w:gutter="0"/>
          <w:cols w:space="720" w:num="1"/>
        </w:sect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jc w:val="center"/>
        <w:outlineLvl w:val="0"/>
        <w:rPr>
          <w:b/>
          <w:bCs/>
          <w:sz w:val="52"/>
          <w:szCs w:val="52"/>
          <w:lang w:val="en-US"/>
        </w:rPr>
      </w:pPr>
      <w:bookmarkStart w:id="15" w:name="_Toc24834"/>
      <w:bookmarkStart w:id="16" w:name="_Toc1737"/>
      <w:bookmarkStart w:id="17" w:name="_Toc20239"/>
      <w:bookmarkStart w:id="18" w:name="_Toc6957_WPSOffice_Level1"/>
      <w:bookmarkStart w:id="19" w:name="_Toc6916"/>
      <w:bookmarkStart w:id="20" w:name="_Toc12356"/>
      <w:bookmarkStart w:id="21" w:name="_Toc13759"/>
      <w:r>
        <w:rPr>
          <w:rFonts w:hint="eastAsia"/>
          <w:b/>
          <w:bCs/>
          <w:sz w:val="52"/>
          <w:szCs w:val="52"/>
        </w:rPr>
        <w:t>第二部分</w:t>
      </w:r>
      <w:r>
        <w:rPr>
          <w:b/>
          <w:bCs/>
          <w:sz w:val="52"/>
          <w:szCs w:val="52"/>
          <w:lang w:val="en-US"/>
        </w:rPr>
        <w:t xml:space="preserve">  </w:t>
      </w:r>
      <w:bookmarkEnd w:id="15"/>
      <w:bookmarkEnd w:id="16"/>
      <w:bookmarkEnd w:id="17"/>
      <w:bookmarkEnd w:id="18"/>
      <w:r>
        <w:rPr>
          <w:rFonts w:hint="eastAsia"/>
          <w:b/>
          <w:bCs/>
          <w:sz w:val="52"/>
          <w:szCs w:val="52"/>
          <w:lang w:val="en-US"/>
        </w:rPr>
        <w:t>采购项目内容</w:t>
      </w:r>
      <w:bookmarkEnd w:id="19"/>
      <w:bookmarkEnd w:id="20"/>
      <w:bookmarkEnd w:id="21"/>
    </w:p>
    <w:p>
      <w:pPr>
        <w:sectPr>
          <w:pgSz w:w="11910" w:h="16840"/>
          <w:pgMar w:top="1440" w:right="1080" w:bottom="1440" w:left="1080" w:header="945" w:footer="893" w:gutter="0"/>
          <w:cols w:space="720" w:num="1"/>
        </w:sectPr>
      </w:pPr>
    </w:p>
    <w:p>
      <w:pPr>
        <w:spacing w:before="60" w:after="60" w:afterLines="25" w:line="360" w:lineRule="auto"/>
        <w:outlineLvl w:val="1"/>
        <w:rPr>
          <w:b/>
          <w:bCs/>
          <w:sz w:val="21"/>
          <w:szCs w:val="21"/>
          <w:lang w:val="en-US"/>
        </w:rPr>
      </w:pPr>
      <w:bookmarkStart w:id="22" w:name="_Toc20414"/>
      <w:bookmarkStart w:id="23" w:name="_Toc5608"/>
      <w:bookmarkStart w:id="24" w:name="_Toc9276"/>
      <w:bookmarkStart w:id="25" w:name="_Toc8914"/>
      <w:bookmarkStart w:id="26" w:name="_Toc19075"/>
      <w:bookmarkStart w:id="27" w:name="_Toc11608_WPSOffice_Level2"/>
      <w:bookmarkStart w:id="28" w:name="_Toc19252"/>
      <w:bookmarkStart w:id="29" w:name="_Toc3397"/>
      <w:bookmarkStart w:id="30" w:name="_Toc16417_WPSOffice_Level2"/>
      <w:bookmarkStart w:id="31" w:name="_Toc285"/>
      <w:bookmarkStart w:id="32" w:name="_Toc31335"/>
      <w:bookmarkStart w:id="33" w:name="_Toc29112"/>
      <w:bookmarkStart w:id="34" w:name="_Toc3097"/>
      <w:bookmarkStart w:id="35" w:name="_Toc29409"/>
      <w:r>
        <w:rPr>
          <w:rFonts w:hint="eastAsia"/>
          <w:b/>
          <w:bCs/>
          <w:sz w:val="21"/>
          <w:szCs w:val="21"/>
        </w:rPr>
        <w:t>一、</w:t>
      </w:r>
      <w:bookmarkEnd w:id="22"/>
      <w:bookmarkEnd w:id="23"/>
      <w:bookmarkEnd w:id="24"/>
      <w:bookmarkEnd w:id="25"/>
      <w:bookmarkEnd w:id="26"/>
      <w:bookmarkEnd w:id="27"/>
      <w:bookmarkEnd w:id="28"/>
      <w:bookmarkEnd w:id="29"/>
      <w:bookmarkEnd w:id="30"/>
      <w:bookmarkEnd w:id="31"/>
      <w:bookmarkEnd w:id="32"/>
      <w:bookmarkEnd w:id="33"/>
      <w:bookmarkEnd w:id="34"/>
      <w:r>
        <w:rPr>
          <w:rFonts w:hint="eastAsia"/>
          <w:b/>
          <w:bCs/>
          <w:sz w:val="21"/>
          <w:szCs w:val="21"/>
          <w:lang w:val="en-US"/>
        </w:rPr>
        <w:t>项目概况</w:t>
      </w:r>
      <w:bookmarkEnd w:id="35"/>
    </w:p>
    <w:p>
      <w:pPr>
        <w:spacing w:before="60" w:after="60" w:afterLines="25" w:line="360" w:lineRule="auto"/>
        <w:ind w:firstLine="420" w:firstLineChars="200"/>
        <w:outlineLvl w:val="1"/>
        <w:rPr>
          <w:sz w:val="21"/>
          <w:szCs w:val="21"/>
          <w:lang w:val="en-US"/>
        </w:rPr>
      </w:pPr>
      <w:bookmarkStart w:id="36" w:name="_Toc457"/>
      <w:bookmarkStart w:id="37" w:name="_Toc23773"/>
      <w:bookmarkStart w:id="38" w:name="_Toc7717"/>
      <w:bookmarkStart w:id="39" w:name="_Toc15477"/>
      <w:bookmarkStart w:id="40" w:name="_Toc26193"/>
      <w:bookmarkStart w:id="41" w:name="_Toc1163"/>
      <w:bookmarkStart w:id="42" w:name="_Toc3646"/>
      <w:bookmarkStart w:id="43" w:name="_Toc30988"/>
      <w:bookmarkStart w:id="44" w:name="_Toc5954"/>
      <w:bookmarkStart w:id="45" w:name="_Toc24695_WPSOffice_Level2"/>
      <w:bookmarkStart w:id="46" w:name="_Toc12830_WPSOffice_Level2"/>
      <w:bookmarkStart w:id="47" w:name="_Toc5618"/>
      <w:bookmarkStart w:id="48" w:name="_Toc26328"/>
      <w:bookmarkStart w:id="49" w:name="_Toc6393"/>
      <w:r>
        <w:rPr>
          <w:rFonts w:hint="eastAsia"/>
          <w:sz w:val="21"/>
          <w:szCs w:val="21"/>
          <w:lang w:val="en-US"/>
        </w:rPr>
        <w:t>本项目为乐平镇工业园区三丫涌桥工程,位于佛山市三水区乐平镇，桥梁位于海尔工业园南侧，跨三丫涌后连接现状强业大道，中心桩号为K0+068，总跨径为35m，桥梁总宽3.1m，上部结构采用1*35m预应力钢筋混凝土小箱梁采用750吨或以上级的汽车吊装以及相关配套设备，下部采用盖梁接钻孔灌注桩基础，金属栏杆制安；路灯安装、线管铺设等具体内容详见预算书。</w:t>
      </w:r>
    </w:p>
    <w:p>
      <w:pPr>
        <w:spacing w:before="60" w:after="60" w:afterLines="25" w:line="360" w:lineRule="auto"/>
        <w:outlineLvl w:val="1"/>
        <w:rPr>
          <w:b/>
          <w:bCs/>
          <w:sz w:val="21"/>
          <w:szCs w:val="21"/>
        </w:rPr>
      </w:pPr>
      <w:r>
        <w:rPr>
          <w:rFonts w:hint="eastAsia"/>
          <w:b/>
          <w:bCs/>
          <w:sz w:val="21"/>
          <w:szCs w:val="21"/>
        </w:rPr>
        <w:t>二、本项目确定成交供应商数量</w:t>
      </w:r>
      <w:bookmarkEnd w:id="36"/>
      <w:bookmarkEnd w:id="37"/>
      <w:bookmarkEnd w:id="38"/>
      <w:bookmarkEnd w:id="39"/>
      <w:bookmarkEnd w:id="40"/>
      <w:bookmarkEnd w:id="41"/>
      <w:bookmarkEnd w:id="42"/>
      <w:bookmarkEnd w:id="43"/>
      <w:bookmarkEnd w:id="44"/>
      <w:bookmarkEnd w:id="45"/>
      <w:bookmarkEnd w:id="46"/>
      <w:bookmarkEnd w:id="47"/>
      <w:bookmarkEnd w:id="48"/>
      <w:bookmarkEnd w:id="49"/>
    </w:p>
    <w:p>
      <w:pPr>
        <w:spacing w:after="60" w:afterLines="25" w:line="360" w:lineRule="auto"/>
        <w:ind w:firstLine="420" w:firstLineChars="200"/>
        <w:rPr>
          <w:sz w:val="21"/>
          <w:szCs w:val="21"/>
        </w:rPr>
      </w:pPr>
      <w:r>
        <w:rPr>
          <w:rFonts w:hint="eastAsia"/>
          <w:sz w:val="21"/>
          <w:szCs w:val="21"/>
        </w:rPr>
        <w:t>本项目确定成交供应商数量为：一家。</w:t>
      </w:r>
    </w:p>
    <w:p>
      <w:pPr>
        <w:spacing w:before="60" w:after="60" w:afterLines="25" w:line="360" w:lineRule="auto"/>
        <w:outlineLvl w:val="1"/>
        <w:rPr>
          <w:b/>
          <w:bCs/>
          <w:sz w:val="21"/>
          <w:szCs w:val="21"/>
        </w:rPr>
      </w:pPr>
      <w:bookmarkStart w:id="50" w:name="_Toc30360"/>
      <w:bookmarkStart w:id="51" w:name="_Toc1506"/>
      <w:bookmarkStart w:id="52" w:name="_Toc26554_WPSOffice_Level2"/>
      <w:bookmarkStart w:id="53" w:name="_Toc4708"/>
      <w:bookmarkStart w:id="54" w:name="_Toc5722"/>
      <w:bookmarkStart w:id="55" w:name="_Toc17267"/>
      <w:bookmarkStart w:id="56" w:name="_Toc29485"/>
      <w:bookmarkStart w:id="57" w:name="_Toc31915"/>
      <w:bookmarkStart w:id="58" w:name="_Toc24644"/>
      <w:bookmarkStart w:id="59" w:name="_Toc10665"/>
      <w:bookmarkStart w:id="60" w:name="_Toc12633_WPSOffice_Level2"/>
      <w:bookmarkStart w:id="61" w:name="_Toc22785"/>
      <w:bookmarkStart w:id="62" w:name="_Toc26168"/>
      <w:bookmarkStart w:id="63" w:name="_Toc11557"/>
      <w:r>
        <w:rPr>
          <w:rFonts w:hint="eastAsia"/>
          <w:b/>
          <w:bCs/>
          <w:sz w:val="21"/>
          <w:szCs w:val="21"/>
        </w:rPr>
        <w:t>三、本采购项目预算</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spacing w:after="60" w:afterLines="25" w:line="360" w:lineRule="auto"/>
        <w:ind w:firstLine="420" w:firstLineChars="200"/>
        <w:rPr>
          <w:sz w:val="21"/>
          <w:szCs w:val="21"/>
        </w:rPr>
      </w:pPr>
      <w:r>
        <w:rPr>
          <w:rFonts w:hint="eastAsia"/>
          <w:sz w:val="21"/>
          <w:szCs w:val="21"/>
        </w:rPr>
        <w:t>本项目的最高采购预算为人民币壹佰贰拾叁万壹仟肆佰捌拾壹元伍角玖分（¥1231481.59）。</w:t>
      </w:r>
    </w:p>
    <w:p>
      <w:pPr>
        <w:spacing w:before="60" w:after="60" w:afterLines="25" w:line="360" w:lineRule="auto"/>
        <w:outlineLvl w:val="1"/>
        <w:rPr>
          <w:b/>
          <w:bCs/>
          <w:sz w:val="21"/>
          <w:szCs w:val="21"/>
          <w:lang w:val="en-US"/>
        </w:rPr>
      </w:pPr>
      <w:bookmarkStart w:id="64" w:name="_Toc13543"/>
      <w:bookmarkStart w:id="65" w:name="_Toc23735"/>
      <w:bookmarkStart w:id="66" w:name="_Toc30055_WPSOffice_Level2"/>
      <w:bookmarkStart w:id="67" w:name="_Toc32251"/>
      <w:bookmarkStart w:id="68" w:name="_Toc29724_WPSOffice_Level2"/>
      <w:bookmarkStart w:id="69" w:name="_Toc9742"/>
      <w:bookmarkStart w:id="70" w:name="_Toc29052"/>
      <w:bookmarkStart w:id="71" w:name="_Toc28360"/>
      <w:bookmarkStart w:id="72" w:name="_Toc3136"/>
      <w:bookmarkStart w:id="73" w:name="_Toc11880"/>
      <w:bookmarkStart w:id="74" w:name="_Toc7559"/>
      <w:bookmarkStart w:id="75" w:name="_Toc7834"/>
      <w:bookmarkStart w:id="76" w:name="_Toc10979"/>
      <w:bookmarkStart w:id="77" w:name="_Toc10872"/>
      <w:r>
        <w:rPr>
          <w:rFonts w:hint="eastAsia"/>
          <w:b/>
          <w:bCs/>
          <w:sz w:val="21"/>
          <w:szCs w:val="21"/>
        </w:rPr>
        <w:t>四、本项目工作内容及要求</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spacing w:after="60" w:afterLines="25" w:line="360" w:lineRule="auto"/>
        <w:ind w:firstLine="420" w:firstLineChars="200"/>
        <w:rPr>
          <w:sz w:val="21"/>
          <w:szCs w:val="21"/>
          <w:lang w:val="en-US"/>
        </w:rPr>
      </w:pPr>
      <w:bookmarkStart w:id="78" w:name="_Toc32191_WPSOffice_Level3"/>
      <w:bookmarkStart w:id="79" w:name="_Toc19977_WPSOffice_Level3"/>
      <w:bookmarkStart w:id="80" w:name="_Toc510012661"/>
      <w:r>
        <w:rPr>
          <w:sz w:val="21"/>
          <w:szCs w:val="21"/>
          <w:lang w:val="en-US"/>
        </w:rPr>
        <w:t>1、项目概况</w:t>
      </w:r>
      <w:bookmarkEnd w:id="78"/>
    </w:p>
    <w:p>
      <w:pPr>
        <w:spacing w:after="60" w:afterLines="25" w:line="360" w:lineRule="auto"/>
        <w:ind w:firstLine="420" w:firstLineChars="200"/>
        <w:rPr>
          <w:sz w:val="21"/>
          <w:szCs w:val="21"/>
          <w:lang w:val="en-US"/>
        </w:rPr>
      </w:pPr>
      <w:r>
        <w:rPr>
          <w:rFonts w:hint="eastAsia"/>
          <w:sz w:val="21"/>
          <w:szCs w:val="21"/>
          <w:lang w:val="en-US"/>
        </w:rPr>
        <w:t>（</w:t>
      </w:r>
      <w:r>
        <w:rPr>
          <w:sz w:val="21"/>
          <w:szCs w:val="21"/>
          <w:lang w:val="en-US"/>
        </w:rPr>
        <w:t>1）项目名称：</w:t>
      </w:r>
      <w:r>
        <w:rPr>
          <w:rFonts w:hint="eastAsia"/>
          <w:sz w:val="21"/>
          <w:szCs w:val="21"/>
          <w:lang w:val="en-US"/>
        </w:rPr>
        <w:t>乐平镇工业园区三丫涌桥工程</w:t>
      </w:r>
    </w:p>
    <w:p>
      <w:pPr>
        <w:spacing w:after="60" w:afterLines="25" w:line="360" w:lineRule="auto"/>
        <w:ind w:firstLine="420" w:firstLineChars="200"/>
        <w:rPr>
          <w:sz w:val="21"/>
          <w:szCs w:val="21"/>
          <w:lang w:val="en-US"/>
        </w:rPr>
      </w:pPr>
      <w:r>
        <w:rPr>
          <w:rFonts w:hint="eastAsia"/>
          <w:sz w:val="21"/>
          <w:szCs w:val="21"/>
          <w:lang w:val="en-US"/>
        </w:rPr>
        <w:t>（</w:t>
      </w:r>
      <w:r>
        <w:rPr>
          <w:sz w:val="21"/>
          <w:szCs w:val="21"/>
          <w:lang w:val="en-US"/>
        </w:rPr>
        <w:t>2）项目地点：佛山市三水区乐平镇。</w:t>
      </w:r>
    </w:p>
    <w:p>
      <w:pPr>
        <w:spacing w:after="60" w:afterLines="25" w:line="360" w:lineRule="auto"/>
        <w:ind w:firstLine="420" w:firstLineChars="200"/>
        <w:rPr>
          <w:sz w:val="21"/>
          <w:szCs w:val="21"/>
          <w:lang w:val="en-US"/>
        </w:rPr>
      </w:pPr>
      <w:r>
        <w:rPr>
          <w:rFonts w:hint="eastAsia"/>
          <w:sz w:val="21"/>
          <w:szCs w:val="21"/>
          <w:lang w:val="en-US"/>
        </w:rPr>
        <w:t>（</w:t>
      </w:r>
      <w:r>
        <w:rPr>
          <w:sz w:val="21"/>
          <w:szCs w:val="21"/>
          <w:lang w:val="en-US"/>
        </w:rPr>
        <w:t>3）</w:t>
      </w:r>
      <w:r>
        <w:rPr>
          <w:rFonts w:hint="eastAsia"/>
          <w:sz w:val="21"/>
          <w:szCs w:val="21"/>
        </w:rPr>
        <w:t>完工期：</w:t>
      </w:r>
      <w:r>
        <w:rPr>
          <w:rFonts w:hint="eastAsia"/>
          <w:sz w:val="21"/>
          <w:szCs w:val="21"/>
          <w:lang w:val="en-US"/>
        </w:rPr>
        <w:t>自合同签订生效之日起</w:t>
      </w:r>
      <w:r>
        <w:rPr>
          <w:sz w:val="21"/>
          <w:szCs w:val="21"/>
          <w:lang w:val="en-US"/>
        </w:rPr>
        <w:t>60</w:t>
      </w:r>
      <w:r>
        <w:rPr>
          <w:rFonts w:hint="eastAsia"/>
          <w:sz w:val="21"/>
          <w:szCs w:val="21"/>
          <w:lang w:val="en-US"/>
        </w:rPr>
        <w:t>个日历天。工期总日历天数与根据前述计划开竣工日期计算的工期天数不一致的，以工期总日历天数为准；实际开工日期以采购人或监理单位发出的开工令为准。</w:t>
      </w:r>
    </w:p>
    <w:p>
      <w:pPr>
        <w:spacing w:after="60" w:afterLines="25" w:line="360" w:lineRule="auto"/>
        <w:ind w:firstLine="420" w:firstLineChars="200"/>
        <w:rPr>
          <w:sz w:val="21"/>
          <w:szCs w:val="21"/>
        </w:rPr>
      </w:pPr>
      <w:r>
        <w:rPr>
          <w:rFonts w:hint="eastAsia"/>
          <w:sz w:val="21"/>
          <w:szCs w:val="21"/>
          <w:lang w:val="en-US"/>
        </w:rPr>
        <w:t>（</w:t>
      </w:r>
      <w:r>
        <w:rPr>
          <w:sz w:val="21"/>
          <w:szCs w:val="21"/>
          <w:lang w:val="en-US"/>
        </w:rPr>
        <w:t>4）建设内容：</w:t>
      </w:r>
      <w:r>
        <w:rPr>
          <w:rFonts w:hint="eastAsia"/>
          <w:sz w:val="21"/>
          <w:szCs w:val="21"/>
          <w:lang w:val="en-US"/>
        </w:rPr>
        <w:t>本项目为乐平镇工业园区三丫涌桥工程,位于佛山市三水区乐平镇，桥梁位于海尔工业园南侧，跨三丫涌后连接现状强业大道，中心桩号为K0+068，总跨径为35m，桥梁总宽3.1m，上部结构采用1*35m预应力钢筋混凝土小箱梁采用750吨或以上级的汽车吊装以及相关配套设备，下部采用盖梁接钻孔灌注桩基础，金属栏杆制安；路灯安装、线管铺设等具体内容详见预算书。</w:t>
      </w:r>
    </w:p>
    <w:p>
      <w:pPr>
        <w:spacing w:after="60" w:afterLines="25" w:line="360" w:lineRule="auto"/>
        <w:ind w:firstLine="420" w:firstLineChars="200"/>
        <w:rPr>
          <w:sz w:val="21"/>
          <w:szCs w:val="21"/>
          <w:lang w:val="en-US"/>
        </w:rPr>
      </w:pPr>
      <w:r>
        <w:rPr>
          <w:sz w:val="21"/>
          <w:szCs w:val="21"/>
          <w:lang w:val="en-US"/>
        </w:rPr>
        <w:t>2、</w:t>
      </w:r>
      <w:r>
        <w:rPr>
          <w:rFonts w:hint="eastAsia"/>
          <w:sz w:val="21"/>
          <w:szCs w:val="21"/>
          <w:lang w:val="en-US"/>
        </w:rPr>
        <w:t>施工工程量清单及图纸</w:t>
      </w:r>
    </w:p>
    <w:p>
      <w:pPr>
        <w:spacing w:after="60" w:afterLines="25" w:line="360" w:lineRule="auto"/>
        <w:ind w:firstLine="420" w:firstLineChars="200"/>
        <w:rPr>
          <w:sz w:val="21"/>
          <w:szCs w:val="21"/>
          <w:lang w:val="en-US"/>
        </w:rPr>
      </w:pPr>
      <w:r>
        <w:rPr>
          <w:sz w:val="21"/>
          <w:szCs w:val="21"/>
          <w:lang w:val="en-US"/>
        </w:rPr>
        <w:t xml:space="preserve">   详见（另附）清单及图纸。</w:t>
      </w:r>
      <w:bookmarkEnd w:id="79"/>
      <w:bookmarkStart w:id="81" w:name="_Toc15702_WPSOffice_Level3"/>
      <w:bookmarkStart w:id="82" w:name="_Toc16417_WPSOffice_Level3"/>
    </w:p>
    <w:p>
      <w:pPr>
        <w:spacing w:after="60" w:line="360" w:lineRule="auto"/>
        <w:ind w:firstLine="420" w:firstLineChars="200"/>
        <w:rPr>
          <w:sz w:val="21"/>
          <w:szCs w:val="21"/>
          <w:lang w:val="en-US"/>
        </w:rPr>
      </w:pPr>
      <w:r>
        <w:rPr>
          <w:sz w:val="21"/>
          <w:szCs w:val="21"/>
          <w:lang w:val="en-US"/>
        </w:rPr>
        <w:t>3、对拟派本项目技术人员的要求</w:t>
      </w:r>
      <w:bookmarkEnd w:id="81"/>
    </w:p>
    <w:p>
      <w:pPr>
        <w:spacing w:after="60" w:line="360" w:lineRule="auto"/>
        <w:ind w:firstLine="422" w:firstLineChars="200"/>
        <w:rPr>
          <w:b/>
          <w:bCs/>
          <w:sz w:val="21"/>
          <w:szCs w:val="21"/>
          <w:lang w:val="en-US"/>
        </w:rPr>
      </w:pPr>
      <w:r>
        <w:rPr>
          <w:rFonts w:hint="eastAsia"/>
          <w:b/>
          <w:bCs/>
          <w:sz w:val="21"/>
          <w:szCs w:val="21"/>
          <w:lang w:val="en-US"/>
        </w:rPr>
        <w:t>★（</w:t>
      </w:r>
      <w:r>
        <w:rPr>
          <w:b/>
          <w:bCs/>
          <w:sz w:val="21"/>
          <w:szCs w:val="21"/>
          <w:lang w:val="en-US"/>
        </w:rPr>
        <w:t>1）项目负责人要求</w:t>
      </w:r>
    </w:p>
    <w:p>
      <w:pPr>
        <w:spacing w:after="60" w:line="360" w:lineRule="auto"/>
        <w:ind w:firstLine="422" w:firstLineChars="200"/>
        <w:rPr>
          <w:b/>
          <w:bCs/>
          <w:sz w:val="21"/>
          <w:szCs w:val="21"/>
          <w:lang w:val="en-US"/>
        </w:rPr>
      </w:pPr>
      <w:r>
        <w:rPr>
          <w:b/>
          <w:bCs/>
          <w:sz w:val="21"/>
          <w:szCs w:val="21"/>
          <w:lang w:val="en-US"/>
        </w:rPr>
        <w:t>1）对拟派项目负责人的资格要求：须</w:t>
      </w:r>
      <w:r>
        <w:rPr>
          <w:rFonts w:hint="eastAsia"/>
          <w:b/>
          <w:bCs/>
          <w:sz w:val="21"/>
          <w:szCs w:val="21"/>
          <w:lang w:val="en-US"/>
        </w:rPr>
        <w:t>具有注册于供应商本单位的</w:t>
      </w:r>
      <w:r>
        <w:rPr>
          <w:b/>
          <w:bCs/>
          <w:sz w:val="21"/>
          <w:szCs w:val="21"/>
          <w:u w:val="single"/>
          <w:lang w:val="en-US"/>
        </w:rPr>
        <w:t>市政公用工程</w:t>
      </w:r>
      <w:r>
        <w:rPr>
          <w:rFonts w:hint="eastAsia"/>
          <w:b/>
          <w:bCs/>
          <w:sz w:val="21"/>
          <w:szCs w:val="21"/>
          <w:u w:val="single"/>
          <w:lang w:val="en-US"/>
        </w:rPr>
        <w:t>或市政</w:t>
      </w:r>
      <w:r>
        <w:rPr>
          <w:rFonts w:hint="eastAsia"/>
          <w:b/>
          <w:bCs/>
          <w:sz w:val="21"/>
          <w:szCs w:val="21"/>
          <w:lang w:val="en-US"/>
        </w:rPr>
        <w:t>专业二级（或以上）注册建造师执业资格证书【根据广东省住房和城乡建设厅《广东省住房和城乡建设厅关于明确二级建造师注册执业有关问题的通知》（粤建市函〔</w:t>
      </w:r>
      <w:r>
        <w:rPr>
          <w:b/>
          <w:bCs/>
          <w:sz w:val="21"/>
          <w:szCs w:val="21"/>
          <w:lang w:val="en-US"/>
        </w:rPr>
        <w:t>2023</w:t>
      </w:r>
      <w:r>
        <w:rPr>
          <w:rFonts w:hint="eastAsia"/>
          <w:b/>
          <w:bCs/>
          <w:sz w:val="21"/>
          <w:szCs w:val="21"/>
          <w:lang w:val="en-US"/>
        </w:rPr>
        <w:t>〕</w:t>
      </w:r>
      <w:r>
        <w:rPr>
          <w:b/>
          <w:bCs/>
          <w:sz w:val="21"/>
          <w:szCs w:val="21"/>
          <w:lang w:val="en-US"/>
        </w:rPr>
        <w:t>469</w:t>
      </w:r>
      <w:r>
        <w:rPr>
          <w:rFonts w:hint="eastAsia"/>
          <w:b/>
          <w:bCs/>
          <w:sz w:val="21"/>
          <w:szCs w:val="21"/>
          <w:lang w:val="en-US"/>
        </w:rPr>
        <w:t>号），二级注册建造师可随注册企业在全国范围内执业。】，并持有有效的《安全生产考核合格证（</w:t>
      </w:r>
      <w:r>
        <w:rPr>
          <w:b/>
          <w:bCs/>
          <w:sz w:val="21"/>
          <w:szCs w:val="21"/>
          <w:lang w:val="en-US"/>
        </w:rPr>
        <w:t>B证）》（供应商可提供所在省份相关建筑施工企业管理人员安全生产考核信息系统的证书查询信息网页打印件或电子证照打印件）。</w:t>
      </w:r>
    </w:p>
    <w:p>
      <w:pPr>
        <w:spacing w:after="60" w:line="360" w:lineRule="auto"/>
        <w:ind w:firstLine="422" w:firstLineChars="200"/>
        <w:rPr>
          <w:b/>
          <w:bCs/>
          <w:sz w:val="21"/>
          <w:szCs w:val="21"/>
          <w:lang w:val="en-US"/>
        </w:rPr>
      </w:pPr>
      <w:r>
        <w:rPr>
          <w:rFonts w:hint="eastAsia"/>
          <w:b/>
          <w:bCs/>
          <w:sz w:val="21"/>
          <w:szCs w:val="21"/>
          <w:lang w:val="en-US"/>
        </w:rPr>
        <w:t>注：根据《全面实行一级建造师电子注册证书的通知（建办市〔</w:t>
      </w:r>
      <w:r>
        <w:rPr>
          <w:b/>
          <w:bCs/>
          <w:sz w:val="21"/>
          <w:szCs w:val="21"/>
          <w:lang w:val="en-US"/>
        </w:rPr>
        <w:t>2021〕40号）》、《全国一体化在线政务服务平台电子证照二级建造师注册证书》、《广东省建设执业资格中心关于启用新版二级建造师</w:t>
      </w:r>
      <w:r>
        <w:rPr>
          <w:rFonts w:hint="eastAsia"/>
          <w:b/>
          <w:bCs/>
          <w:sz w:val="21"/>
          <w:szCs w:val="21"/>
          <w:lang w:val="en-US"/>
        </w:rPr>
        <w:t>注册证书电子证照的通知》等相关通知，注册建造师打印电子证书后，应在个人签名处手写本人签名，未手写签名或与签名图像笔迹不一致的，该电子证书无效。如有最新文件，按最新文件执行。</w:t>
      </w:r>
    </w:p>
    <w:p>
      <w:pPr>
        <w:spacing w:after="60" w:line="360" w:lineRule="auto"/>
        <w:ind w:firstLine="422" w:firstLineChars="200"/>
        <w:rPr>
          <w:b/>
          <w:bCs/>
          <w:sz w:val="21"/>
          <w:szCs w:val="21"/>
          <w:lang w:val="en-US"/>
        </w:rPr>
      </w:pPr>
      <w:r>
        <w:rPr>
          <w:b/>
          <w:bCs/>
          <w:sz w:val="21"/>
          <w:szCs w:val="21"/>
          <w:lang w:val="en-US"/>
        </w:rPr>
        <w:t>2）拟派驻项目负责人必须在</w:t>
      </w:r>
      <w:r>
        <w:rPr>
          <w:rFonts w:hint="eastAsia"/>
          <w:b/>
          <w:bCs/>
          <w:sz w:val="21"/>
          <w:szCs w:val="21"/>
          <w:lang w:val="en-US"/>
        </w:rPr>
        <w:t>佛山市建筑诚信评价体系管理平台登记的人员中选取，并且拟派项目负责人必须在资格审查当日未被锁定。省外进粤企业，拟派项目负责人须在“进粤企业和人员诚信信息登记平台”办理了登记手续。</w:t>
      </w:r>
    </w:p>
    <w:p>
      <w:pPr>
        <w:spacing w:after="60" w:line="360" w:lineRule="auto"/>
        <w:ind w:firstLine="422" w:firstLineChars="200"/>
        <w:rPr>
          <w:b/>
          <w:bCs/>
          <w:sz w:val="21"/>
          <w:szCs w:val="21"/>
          <w:lang w:val="en-US"/>
        </w:rPr>
      </w:pPr>
      <w:r>
        <w:rPr>
          <w:b/>
          <w:bCs/>
          <w:sz w:val="21"/>
          <w:szCs w:val="21"/>
          <w:lang w:val="en-US"/>
        </w:rPr>
        <w:t>3）需提供供应商近半年（扣除发布磋商公告当月往前顺推6个月即2023</w:t>
      </w:r>
      <w:r>
        <w:rPr>
          <w:rFonts w:hint="eastAsia"/>
          <w:b/>
          <w:bCs/>
          <w:sz w:val="21"/>
          <w:szCs w:val="21"/>
          <w:lang w:val="en-US"/>
        </w:rPr>
        <w:t>年</w:t>
      </w:r>
      <w:r>
        <w:rPr>
          <w:b/>
          <w:bCs/>
          <w:sz w:val="21"/>
          <w:szCs w:val="21"/>
          <w:lang w:val="en-US"/>
        </w:rPr>
        <w:t>8月-2024年</w:t>
      </w:r>
      <w:r>
        <w:rPr>
          <w:rFonts w:hint="eastAsia"/>
          <w:b/>
          <w:bCs/>
          <w:sz w:val="21"/>
          <w:szCs w:val="21"/>
          <w:lang w:val="en-US"/>
        </w:rPr>
        <w:t>1</w:t>
      </w:r>
      <w:r>
        <w:rPr>
          <w:b/>
          <w:bCs/>
          <w:sz w:val="21"/>
          <w:szCs w:val="21"/>
          <w:lang w:val="en-US"/>
        </w:rPr>
        <w:t>月）为拟派项目负责人缴纳社保资金的有效的社保证明材料。</w:t>
      </w:r>
    </w:p>
    <w:p>
      <w:pPr>
        <w:spacing w:after="60" w:line="360" w:lineRule="auto"/>
        <w:ind w:firstLine="422" w:firstLineChars="200"/>
        <w:rPr>
          <w:b/>
          <w:bCs/>
          <w:sz w:val="21"/>
          <w:szCs w:val="21"/>
          <w:lang w:val="en-US"/>
        </w:rPr>
      </w:pPr>
      <w:r>
        <w:rPr>
          <w:b/>
          <w:bCs/>
          <w:sz w:val="21"/>
          <w:szCs w:val="21"/>
          <w:lang w:val="en-US"/>
        </w:rPr>
        <w:t>4）拟派项目负责人没有在其他在建项目中担任项目负责人一职（须提供承诺函，格式自拟）。</w:t>
      </w:r>
    </w:p>
    <w:p>
      <w:pPr>
        <w:spacing w:after="60" w:line="360" w:lineRule="auto"/>
        <w:ind w:firstLine="420" w:firstLineChars="200"/>
        <w:rPr>
          <w:sz w:val="21"/>
          <w:szCs w:val="21"/>
          <w:lang w:val="en-US"/>
        </w:rPr>
      </w:pPr>
      <w:r>
        <w:rPr>
          <w:rFonts w:hint="eastAsia"/>
          <w:sz w:val="21"/>
          <w:szCs w:val="21"/>
          <w:lang w:val="en-US"/>
        </w:rPr>
        <w:t>（</w:t>
      </w:r>
      <w:r>
        <w:rPr>
          <w:sz w:val="21"/>
          <w:szCs w:val="21"/>
          <w:lang w:val="en-US"/>
        </w:rPr>
        <w:t>2）专职安全人员要求</w:t>
      </w:r>
    </w:p>
    <w:p>
      <w:pPr>
        <w:spacing w:after="60" w:line="360" w:lineRule="auto"/>
        <w:ind w:firstLine="420" w:firstLineChars="200"/>
        <w:rPr>
          <w:sz w:val="21"/>
          <w:szCs w:val="21"/>
          <w:lang w:val="en-US"/>
        </w:rPr>
      </w:pPr>
      <w:r>
        <w:rPr>
          <w:rFonts w:hint="eastAsia"/>
          <w:sz w:val="21"/>
          <w:szCs w:val="21"/>
          <w:lang w:val="en-US"/>
        </w:rPr>
        <w:t>专职安全人员</w:t>
      </w:r>
      <w:r>
        <w:rPr>
          <w:sz w:val="21"/>
          <w:szCs w:val="21"/>
          <w:lang w:val="en-US"/>
        </w:rPr>
        <w:t>1名，须具有《安全生产考核合格证（C证）》或《安全生产考核合格证（综合类C3证）》（供应商可提供所在省份相关建筑施工企业管理人员安全生产考核信息系统的证书查询信息网页打印件或电子证照打印件），且为供应商在职人员，需提供供应商近半年（扣除发布磋商公告当月往前顺推6个月</w:t>
      </w:r>
      <w:r>
        <w:rPr>
          <w:rFonts w:hint="eastAsia"/>
          <w:sz w:val="21"/>
          <w:szCs w:val="21"/>
          <w:lang w:val="en-US"/>
        </w:rPr>
        <w:t>2023年</w:t>
      </w:r>
      <w:r>
        <w:rPr>
          <w:sz w:val="21"/>
          <w:szCs w:val="21"/>
          <w:lang w:val="en-US"/>
        </w:rPr>
        <w:t>8</w:t>
      </w:r>
      <w:r>
        <w:rPr>
          <w:rFonts w:hint="eastAsia"/>
          <w:sz w:val="21"/>
          <w:szCs w:val="21"/>
          <w:lang w:val="en-US"/>
        </w:rPr>
        <w:t>月-202</w:t>
      </w:r>
      <w:r>
        <w:rPr>
          <w:sz w:val="21"/>
          <w:szCs w:val="21"/>
          <w:lang w:val="en-US"/>
        </w:rPr>
        <w:t>4</w:t>
      </w:r>
      <w:r>
        <w:rPr>
          <w:rFonts w:hint="eastAsia"/>
          <w:sz w:val="21"/>
          <w:szCs w:val="21"/>
          <w:lang w:val="en-US"/>
        </w:rPr>
        <w:t>年1月</w:t>
      </w:r>
      <w:r>
        <w:rPr>
          <w:sz w:val="21"/>
          <w:szCs w:val="21"/>
          <w:lang w:val="en-US"/>
        </w:rPr>
        <w:t>）为专职安全人员缴纳社保资金的有效的社保证明材料。</w:t>
      </w:r>
    </w:p>
    <w:p>
      <w:pPr>
        <w:spacing w:after="60" w:line="360" w:lineRule="auto"/>
        <w:ind w:firstLine="420" w:firstLineChars="200"/>
        <w:rPr>
          <w:sz w:val="21"/>
          <w:szCs w:val="21"/>
          <w:lang w:val="en-US"/>
        </w:rPr>
      </w:pPr>
      <w:r>
        <w:rPr>
          <w:rFonts w:hint="eastAsia"/>
          <w:sz w:val="21"/>
          <w:szCs w:val="21"/>
          <w:lang w:val="en-US"/>
        </w:rPr>
        <w:t>有效的社保证明材料是指供应商（或其分支机构）所属当地社保管理部门出具的证明文件，或经供应商（或其分支机构）所属当地社保管理部门盖章确认的社保清单（含社保管理部门终端设备打印的社保证明文件</w:t>
      </w:r>
      <w:r>
        <w:rPr>
          <w:sz w:val="21"/>
          <w:szCs w:val="21"/>
          <w:lang w:val="en-US"/>
        </w:rPr>
        <w:t>)等。</w:t>
      </w:r>
    </w:p>
    <w:bookmarkEnd w:id="82"/>
    <w:p>
      <w:pPr>
        <w:spacing w:after="60" w:line="360" w:lineRule="auto"/>
        <w:ind w:firstLine="420" w:firstLineChars="200"/>
        <w:rPr>
          <w:sz w:val="21"/>
          <w:szCs w:val="21"/>
          <w:lang w:val="en-US"/>
        </w:rPr>
      </w:pPr>
      <w:bookmarkStart w:id="83" w:name="_Toc12830_WPSOffice_Level3"/>
      <w:bookmarkStart w:id="84" w:name="_Toc23216"/>
      <w:bookmarkStart w:id="85" w:name="_Toc4191_WPSOffice_Level2"/>
      <w:bookmarkStart w:id="86" w:name="_Toc22772"/>
      <w:bookmarkStart w:id="87" w:name="_Toc28398"/>
      <w:bookmarkStart w:id="88" w:name="_Toc6546"/>
      <w:bookmarkStart w:id="89" w:name="_Toc22977"/>
      <w:bookmarkStart w:id="90" w:name="_Toc6436"/>
      <w:bookmarkStart w:id="91" w:name="_Toc8977_WPSOffice_Level2"/>
      <w:bookmarkStart w:id="92" w:name="_Toc16159"/>
      <w:bookmarkStart w:id="93" w:name="_Toc27634"/>
      <w:r>
        <w:rPr>
          <w:rFonts w:hint="eastAsia"/>
          <w:sz w:val="21"/>
          <w:szCs w:val="21"/>
          <w:lang w:val="en-US"/>
        </w:rPr>
        <w:t>（</w:t>
      </w:r>
      <w:r>
        <w:rPr>
          <w:sz w:val="21"/>
          <w:szCs w:val="21"/>
          <w:lang w:val="en-US"/>
        </w:rPr>
        <w:t>3）成交供应商不能随便更换投入本项目的技术人员，入职后，资质证、学历、简介等资历复印件需交采购人备案。如果技术人员存在工作态度、责任心、技术能力、协调沟通能力等方面的问题时，采购人有权要求成交供应商更换技术人员，并且成交供应商在收到采购人书面通知之日起7个日历天内必须更换，如果更换次数达到两次以上的，成交供应商必须进行整改，不服从整改或没有按时间进行整改等情况，采购人有权终止合同。</w:t>
      </w:r>
    </w:p>
    <w:p>
      <w:pPr>
        <w:spacing w:after="60" w:line="360" w:lineRule="auto"/>
        <w:ind w:firstLine="420" w:firstLineChars="200"/>
        <w:rPr>
          <w:sz w:val="21"/>
          <w:szCs w:val="21"/>
          <w:lang w:val="en-US"/>
        </w:rPr>
      </w:pPr>
      <w:r>
        <w:rPr>
          <w:rFonts w:hint="eastAsia"/>
          <w:sz w:val="21"/>
          <w:szCs w:val="21"/>
          <w:lang w:val="en-US"/>
        </w:rPr>
        <w:t>（</w:t>
      </w:r>
      <w:r>
        <w:rPr>
          <w:sz w:val="21"/>
          <w:szCs w:val="21"/>
          <w:lang w:val="en-US"/>
        </w:rPr>
        <w:t>4）服务本项目的技术人员如有变动（如辞职、调派、晋升等）需提交书面通知给采购人，人员缺失需在5个日历天内补位。</w:t>
      </w:r>
    </w:p>
    <w:bookmarkEnd w:id="83"/>
    <w:p>
      <w:pPr>
        <w:spacing w:before="60" w:after="60" w:afterLines="25" w:line="360" w:lineRule="auto"/>
        <w:outlineLvl w:val="1"/>
        <w:rPr>
          <w:b/>
          <w:bCs/>
          <w:sz w:val="21"/>
          <w:szCs w:val="21"/>
          <w:lang w:val="en-US"/>
        </w:rPr>
      </w:pPr>
      <w:bookmarkStart w:id="94" w:name="_Toc17007"/>
      <w:bookmarkStart w:id="95" w:name="_Toc3336"/>
      <w:bookmarkStart w:id="96" w:name="_Toc15297"/>
      <w:bookmarkStart w:id="97" w:name="_Toc27714"/>
      <w:bookmarkStart w:id="98" w:name="_Toc17763"/>
      <w:bookmarkStart w:id="99" w:name="_Toc6731"/>
      <w:bookmarkStart w:id="100" w:name="_Toc25335"/>
      <w:bookmarkStart w:id="101" w:name="_Toc6021_WPSOffice_Level2"/>
      <w:bookmarkStart w:id="102" w:name="_Toc5732"/>
      <w:bookmarkStart w:id="103" w:name="_Toc16811"/>
      <w:bookmarkStart w:id="104" w:name="_Toc3780"/>
      <w:bookmarkStart w:id="105" w:name="_Toc25807_WPSOffice_Level2"/>
      <w:bookmarkStart w:id="106" w:name="_Toc10870"/>
      <w:bookmarkStart w:id="107" w:name="_Toc9268"/>
      <w:bookmarkStart w:id="108" w:name="_Toc622"/>
      <w:r>
        <w:rPr>
          <w:rFonts w:hint="eastAsia"/>
          <w:b/>
          <w:bCs/>
          <w:sz w:val="21"/>
          <w:szCs w:val="21"/>
          <w:lang w:val="en-US"/>
        </w:rPr>
        <w:t>五、本项目工作依据及文件</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spacing w:before="60" w:after="60" w:afterLines="25" w:line="360" w:lineRule="auto"/>
        <w:ind w:firstLine="420" w:firstLineChars="200"/>
        <w:rPr>
          <w:sz w:val="21"/>
          <w:szCs w:val="21"/>
          <w:lang w:val="en-US"/>
        </w:rPr>
      </w:pPr>
      <w:r>
        <w:rPr>
          <w:rFonts w:hint="eastAsia"/>
          <w:sz w:val="21"/>
          <w:szCs w:val="21"/>
          <w:lang w:val="en-US"/>
        </w:rPr>
        <w:t>根据《建设工程工程量清单计价规范 GB 50500-2013》、《市政工程量清单计价规范 GB50857-2013》、《园林绿化工程工程量计算规范 GB 50858-2013》、《通用安装工程工程量计算规范 GB 50856-2013》、《广东省市政工程综合定额》(2018)、《广东省安装工程综合定额》（2018）、《广东省园林绿化工程综合定额》（2018）及配套文件和资料编制。</w:t>
      </w:r>
    </w:p>
    <w:p>
      <w:pPr>
        <w:spacing w:before="60" w:after="60" w:afterLines="25" w:line="360" w:lineRule="auto"/>
        <w:outlineLvl w:val="1"/>
        <w:rPr>
          <w:b/>
          <w:bCs/>
          <w:sz w:val="21"/>
          <w:szCs w:val="21"/>
          <w:lang w:val="en-US"/>
        </w:rPr>
      </w:pPr>
      <w:bookmarkStart w:id="109" w:name="_Toc12445"/>
      <w:bookmarkStart w:id="110" w:name="_Toc27427"/>
      <w:bookmarkStart w:id="111" w:name="_Toc12879"/>
      <w:bookmarkStart w:id="112" w:name="_Toc18605"/>
      <w:r>
        <w:rPr>
          <w:rFonts w:hint="eastAsia"/>
          <w:b/>
          <w:bCs/>
          <w:sz w:val="21"/>
          <w:szCs w:val="21"/>
          <w:lang w:val="en-US"/>
        </w:rPr>
        <w:t>六、</w:t>
      </w:r>
      <w:bookmarkEnd w:id="80"/>
      <w:bookmarkEnd w:id="84"/>
      <w:bookmarkEnd w:id="85"/>
      <w:bookmarkEnd w:id="86"/>
      <w:bookmarkEnd w:id="87"/>
      <w:bookmarkEnd w:id="88"/>
      <w:bookmarkStart w:id="113" w:name="_Toc31192_WPSOffice_Level2"/>
      <w:bookmarkStart w:id="114" w:name="_Toc10863"/>
      <w:bookmarkStart w:id="115" w:name="_Toc27238"/>
      <w:bookmarkStart w:id="116" w:name="_Toc20953"/>
      <w:bookmarkStart w:id="117" w:name="_Toc31881"/>
      <w:r>
        <w:rPr>
          <w:rFonts w:hint="eastAsia"/>
          <w:b/>
          <w:bCs/>
          <w:sz w:val="21"/>
          <w:szCs w:val="21"/>
          <w:lang w:val="en-US"/>
        </w:rPr>
        <w:t>报价要求</w:t>
      </w:r>
      <w:bookmarkEnd w:id="89"/>
      <w:bookmarkEnd w:id="90"/>
      <w:bookmarkEnd w:id="91"/>
      <w:bookmarkEnd w:id="92"/>
      <w:bookmarkEnd w:id="93"/>
      <w:bookmarkEnd w:id="109"/>
      <w:bookmarkEnd w:id="110"/>
      <w:bookmarkEnd w:id="111"/>
      <w:bookmarkEnd w:id="112"/>
    </w:p>
    <w:p>
      <w:pPr>
        <w:spacing w:after="60" w:afterLines="25" w:line="360" w:lineRule="auto"/>
        <w:ind w:firstLine="420" w:firstLineChars="200"/>
        <w:rPr>
          <w:sz w:val="21"/>
          <w:szCs w:val="21"/>
          <w:lang w:val="en-US"/>
        </w:rPr>
      </w:pPr>
      <w:r>
        <w:rPr>
          <w:sz w:val="21"/>
          <w:szCs w:val="21"/>
          <w:lang w:val="en-US"/>
        </w:rPr>
        <w:t>1、本项目以预算金额人民币</w:t>
      </w:r>
      <w:r>
        <w:rPr>
          <w:rFonts w:hint="eastAsia"/>
          <w:sz w:val="21"/>
          <w:szCs w:val="21"/>
          <w:lang w:val="en-US"/>
        </w:rPr>
        <w:t>壹佰贰拾叁万壹仟肆佰捌拾壹元伍角玖分（¥1231481.59）作为基准价，本项目采用折率进行报价，且折率≤</w:t>
      </w:r>
      <w:r>
        <w:rPr>
          <w:sz w:val="21"/>
          <w:szCs w:val="21"/>
          <w:lang w:val="en-US"/>
        </w:rPr>
        <w:t>100.00%。供应商的报价折率必须小于或等于本工程的最高磋商限价折率，否则视为无效响应。磋商小组认为供应商的报价明显低于其他通过资格性符合性审查供应商的报价，有可能影响产品质量或者不能诚信履约的，磋商小组应当要求其在评审现场立即提供书面说明，并同时提交相关证明材料包括但不限于综合单价分析表、主要材料近三个月内的采购合同、人工费不低于佛山市最</w:t>
      </w:r>
      <w:r>
        <w:rPr>
          <w:rFonts w:hint="eastAsia"/>
          <w:sz w:val="21"/>
          <w:szCs w:val="21"/>
          <w:lang w:val="en-US"/>
        </w:rPr>
        <w:t>新的最低工资标准等资料，最终由磋商小组现场评定；供应商不能证明其报价合理性的，磋商小组应当将其作为无效响应处理。</w:t>
      </w:r>
    </w:p>
    <w:p>
      <w:pPr>
        <w:spacing w:after="60" w:afterLines="25" w:line="360" w:lineRule="auto"/>
        <w:ind w:firstLine="420" w:firstLineChars="200"/>
        <w:rPr>
          <w:sz w:val="21"/>
          <w:szCs w:val="21"/>
          <w:lang w:val="en-US"/>
        </w:rPr>
      </w:pPr>
      <w:r>
        <w:rPr>
          <w:rFonts w:hint="eastAsia"/>
          <w:sz w:val="21"/>
          <w:szCs w:val="21"/>
          <w:lang w:val="en-US"/>
        </w:rPr>
        <w:t>注：本项目报价已包括绿色施工安全防护措施费57506.78元。绿色施工安全防护措施费为本竞争性磋商文件固定金额，不列入磋商范围（不得下浮），并计入响应报价中，结算时以上费用不作任何调整。</w:t>
      </w:r>
    </w:p>
    <w:p>
      <w:pPr>
        <w:spacing w:line="360" w:lineRule="auto"/>
        <w:ind w:firstLine="420"/>
        <w:rPr>
          <w:bCs/>
          <w:sz w:val="21"/>
          <w:szCs w:val="21"/>
        </w:rPr>
      </w:pPr>
      <w:r>
        <w:rPr>
          <w:sz w:val="21"/>
          <w:szCs w:val="21"/>
          <w:lang w:val="en-US"/>
        </w:rPr>
        <w:t>2、</w:t>
      </w:r>
      <w:r>
        <w:rPr>
          <w:rFonts w:hint="eastAsia"/>
          <w:bCs/>
          <w:sz w:val="21"/>
          <w:szCs w:val="21"/>
        </w:rPr>
        <w:t>承包方式：本项目以综合单价包干，措施费包干。</w:t>
      </w:r>
      <w:r>
        <w:rPr>
          <w:rFonts w:hint="eastAsia"/>
          <w:bCs/>
          <w:sz w:val="21"/>
          <w:szCs w:val="21"/>
          <w:lang w:val="hr-HR"/>
        </w:rPr>
        <w:t>包工、包料、包质量、包安全、包环保、</w:t>
      </w:r>
      <w:r>
        <w:rPr>
          <w:rFonts w:hint="eastAsia"/>
          <w:bCs/>
          <w:sz w:val="21"/>
          <w:szCs w:val="21"/>
        </w:rPr>
        <w:t>包调试、包验收等</w:t>
      </w:r>
      <w:r>
        <w:rPr>
          <w:rFonts w:hint="eastAsia"/>
          <w:bCs/>
          <w:sz w:val="21"/>
          <w:szCs w:val="21"/>
          <w:lang w:val="hr-HR"/>
        </w:rPr>
        <w:t>。</w:t>
      </w:r>
      <w:r>
        <w:rPr>
          <w:rFonts w:hint="eastAsia"/>
          <w:bCs/>
          <w:sz w:val="21"/>
          <w:szCs w:val="21"/>
        </w:rPr>
        <w:t>成交供应商报价是全部费用，包括分部分项工程费、措施项目费、其他项目费、规费、利润和税金、材料设备的市场涨价风险等。</w:t>
      </w:r>
    </w:p>
    <w:p>
      <w:pPr>
        <w:spacing w:after="60" w:afterLines="25" w:line="360" w:lineRule="auto"/>
        <w:ind w:firstLine="420" w:firstLineChars="200"/>
        <w:rPr>
          <w:sz w:val="21"/>
          <w:szCs w:val="21"/>
          <w:lang w:val="en-US"/>
        </w:rPr>
      </w:pPr>
      <w:r>
        <w:rPr>
          <w:sz w:val="21"/>
          <w:szCs w:val="21"/>
          <w:lang w:val="en-US"/>
        </w:rPr>
        <w:t>3、工程质量要求：符合国家、省或行业现行的工程建设质量验收标准及规范，须达到合格或以上标准，若未能达到该标准，则不予以工程验收，并应对存在的质量缺陷问题及时进行修整。</w:t>
      </w:r>
    </w:p>
    <w:p>
      <w:pPr>
        <w:spacing w:after="60" w:afterLines="25" w:line="360" w:lineRule="auto"/>
        <w:ind w:firstLine="420" w:firstLineChars="200"/>
        <w:rPr>
          <w:sz w:val="21"/>
          <w:szCs w:val="21"/>
          <w:lang w:val="en-US"/>
        </w:rPr>
      </w:pPr>
      <w:r>
        <w:rPr>
          <w:sz w:val="21"/>
          <w:szCs w:val="21"/>
          <w:lang w:val="en-US"/>
        </w:rPr>
        <w:t>4、安全文明施工要求：符合国家、省、市安全生产、文明施工管理相关规定，须达到合格或以上标准。</w:t>
      </w:r>
    </w:p>
    <w:p>
      <w:pPr>
        <w:spacing w:after="60" w:afterLines="25" w:line="360" w:lineRule="auto"/>
        <w:ind w:firstLine="420" w:firstLineChars="200"/>
        <w:rPr>
          <w:b/>
          <w:bCs/>
          <w:sz w:val="21"/>
          <w:szCs w:val="21"/>
          <w:lang w:val="en-US"/>
        </w:rPr>
      </w:pPr>
      <w:r>
        <w:rPr>
          <w:sz w:val="21"/>
          <w:szCs w:val="21"/>
          <w:lang w:val="en-US"/>
        </w:rPr>
        <w:t>5、</w:t>
      </w:r>
      <w:r>
        <w:rPr>
          <w:rFonts w:hint="eastAsia"/>
          <w:b/>
          <w:bCs/>
          <w:sz w:val="21"/>
          <w:szCs w:val="21"/>
          <w:lang w:val="en-US"/>
        </w:rPr>
        <w:t>签约合同价</w:t>
      </w:r>
      <w:r>
        <w:rPr>
          <w:b/>
          <w:bCs/>
          <w:sz w:val="21"/>
          <w:szCs w:val="21"/>
          <w:lang w:val="en-US"/>
        </w:rPr>
        <w:t>=（审定建筑安装工程费-绿色施工安全防护措施费）×成交折率+绿色施工安全防护措施费</w:t>
      </w:r>
    </w:p>
    <w:p>
      <w:pPr>
        <w:spacing w:after="60" w:afterLines="25" w:line="360" w:lineRule="auto"/>
        <w:ind w:firstLine="420" w:firstLineChars="200"/>
        <w:rPr>
          <w:sz w:val="21"/>
          <w:szCs w:val="21"/>
          <w:lang w:val="en-US"/>
        </w:rPr>
      </w:pPr>
      <w:r>
        <w:rPr>
          <w:sz w:val="21"/>
          <w:szCs w:val="21"/>
          <w:lang w:val="en-US"/>
        </w:rPr>
        <w:t>6、根据成交供应商的成交折率乘以采购人审定预算的综合单价为最终结算的综合单价，工程量按实结算。</w:t>
      </w:r>
    </w:p>
    <w:p>
      <w:pPr>
        <w:spacing w:before="60" w:after="60" w:afterLines="25" w:line="360" w:lineRule="auto"/>
        <w:outlineLvl w:val="1"/>
        <w:rPr>
          <w:b/>
          <w:bCs/>
          <w:sz w:val="21"/>
          <w:szCs w:val="21"/>
          <w:lang w:val="en-US"/>
        </w:rPr>
      </w:pPr>
      <w:bookmarkStart w:id="118" w:name="_Toc4645"/>
      <w:bookmarkStart w:id="119" w:name="_Toc28868_WPSOffice_Level2"/>
      <w:bookmarkStart w:id="120" w:name="_Toc2784"/>
      <w:bookmarkStart w:id="121" w:name="_Toc1216"/>
      <w:bookmarkStart w:id="122" w:name="_Toc20954"/>
      <w:bookmarkStart w:id="123" w:name="_Toc25382"/>
      <w:bookmarkStart w:id="124" w:name="_Toc23560"/>
      <w:bookmarkStart w:id="125" w:name="_Toc10164"/>
      <w:bookmarkStart w:id="126" w:name="_Toc11171"/>
      <w:r>
        <w:rPr>
          <w:rFonts w:hint="eastAsia"/>
          <w:b/>
          <w:bCs/>
          <w:sz w:val="21"/>
          <w:szCs w:val="21"/>
          <w:lang w:val="en-US"/>
        </w:rPr>
        <w:t>七、</w:t>
      </w:r>
      <w:bookmarkEnd w:id="113"/>
      <w:bookmarkEnd w:id="114"/>
      <w:bookmarkEnd w:id="115"/>
      <w:bookmarkEnd w:id="116"/>
      <w:bookmarkEnd w:id="117"/>
      <w:r>
        <w:rPr>
          <w:rFonts w:hint="eastAsia"/>
          <w:b/>
          <w:bCs/>
          <w:sz w:val="21"/>
          <w:szCs w:val="21"/>
          <w:lang w:val="en-US"/>
        </w:rPr>
        <w:t>付款方式</w:t>
      </w:r>
      <w:bookmarkEnd w:id="118"/>
      <w:bookmarkEnd w:id="119"/>
      <w:bookmarkEnd w:id="120"/>
      <w:bookmarkEnd w:id="121"/>
      <w:bookmarkEnd w:id="122"/>
      <w:bookmarkEnd w:id="123"/>
      <w:bookmarkEnd w:id="124"/>
      <w:bookmarkEnd w:id="125"/>
      <w:bookmarkEnd w:id="126"/>
      <w:r>
        <w:rPr>
          <w:b/>
          <w:bCs/>
          <w:sz w:val="21"/>
          <w:szCs w:val="21"/>
          <w:lang w:val="en-US"/>
        </w:rPr>
        <w:t xml:space="preserve"> </w:t>
      </w:r>
    </w:p>
    <w:p>
      <w:pPr>
        <w:pStyle w:val="25"/>
        <w:spacing w:line="360" w:lineRule="auto"/>
        <w:ind w:firstLine="420" w:firstLineChars="200"/>
        <w:rPr>
          <w:sz w:val="21"/>
          <w:lang w:val="hr-HR"/>
        </w:rPr>
      </w:pPr>
      <w:r>
        <w:rPr>
          <w:rFonts w:hint="eastAsia"/>
          <w:sz w:val="21"/>
          <w:lang w:val="hr-HR"/>
        </w:rPr>
        <w:t>付款周期</w:t>
      </w:r>
    </w:p>
    <w:p>
      <w:pPr>
        <w:pStyle w:val="25"/>
        <w:spacing w:line="360" w:lineRule="auto"/>
        <w:ind w:firstLine="420" w:firstLineChars="200"/>
        <w:rPr>
          <w:sz w:val="21"/>
          <w:lang w:val="hr-HR"/>
        </w:rPr>
      </w:pPr>
      <w:r>
        <w:rPr>
          <w:sz w:val="21"/>
          <w:lang w:val="en-US"/>
        </w:rPr>
        <w:t>1.</w:t>
      </w:r>
      <w:r>
        <w:rPr>
          <w:rFonts w:hint="eastAsia"/>
          <w:sz w:val="21"/>
          <w:lang w:val="hr-HR"/>
        </w:rPr>
        <w:t>工程款每月按上个月完成合格工程量的</w:t>
      </w:r>
      <w:r>
        <w:rPr>
          <w:sz w:val="21"/>
          <w:lang w:val="hr-HR"/>
        </w:rPr>
        <w:t>80%支付。【其中变更工程按本款第2）执行】；</w:t>
      </w:r>
    </w:p>
    <w:p>
      <w:pPr>
        <w:pStyle w:val="25"/>
        <w:spacing w:line="360" w:lineRule="auto"/>
        <w:ind w:firstLine="420" w:firstLineChars="200"/>
        <w:rPr>
          <w:sz w:val="21"/>
          <w:lang w:val="hr-HR"/>
        </w:rPr>
      </w:pPr>
      <w:r>
        <w:rPr>
          <w:sz w:val="21"/>
          <w:lang w:val="en-US"/>
        </w:rPr>
        <w:t>2.</w:t>
      </w:r>
      <w:r>
        <w:rPr>
          <w:rFonts w:hint="eastAsia"/>
          <w:sz w:val="21"/>
          <w:lang w:val="hr-HR"/>
        </w:rPr>
        <w:t>变更工程的暂定计量和支付：工程变更经审批完成后，成交供应商可提出工程变更中间支付。由采购委托具备相应资质的审核单位按合同约定计算方式出具变更估价报告后，成交供应商可要求申请变更估价报告的</w:t>
      </w:r>
      <w:r>
        <w:rPr>
          <w:sz w:val="21"/>
          <w:lang w:val="hr-HR"/>
        </w:rPr>
        <w:t>70%作为工程进度款支付（所产生的审核费用由成交供应商承担）。此类变更估价报告仅作为中间支付计量依据，最终变更工程结算金额以本项目造价管理部门审定为准；</w:t>
      </w:r>
    </w:p>
    <w:p>
      <w:pPr>
        <w:pStyle w:val="25"/>
        <w:spacing w:line="360" w:lineRule="auto"/>
        <w:ind w:firstLine="420" w:firstLineChars="200"/>
        <w:rPr>
          <w:sz w:val="21"/>
          <w:lang w:val="hr-HR"/>
        </w:rPr>
      </w:pPr>
      <w:r>
        <w:rPr>
          <w:sz w:val="21"/>
          <w:lang w:val="en-US"/>
        </w:rPr>
        <w:t>3.</w:t>
      </w:r>
      <w:r>
        <w:rPr>
          <w:rFonts w:hint="eastAsia"/>
          <w:sz w:val="21"/>
          <w:lang w:val="hr-HR"/>
        </w:rPr>
        <w:t>余下的工程款（扣除审定结算价的</w:t>
      </w:r>
      <w:r>
        <w:rPr>
          <w:sz w:val="21"/>
          <w:lang w:val="hr-HR"/>
        </w:rPr>
        <w:t>3%作为工程质量保证金）在工程验收合格并经本项目造价管理部门审定结算后按程序支付，工程质量保证金在工程缺陷责任期满后且成交供应商按要求履行保修义务后按程序无息付清；</w:t>
      </w:r>
    </w:p>
    <w:p>
      <w:pPr>
        <w:pStyle w:val="25"/>
        <w:spacing w:line="360" w:lineRule="auto"/>
        <w:ind w:firstLine="420" w:firstLineChars="200"/>
        <w:rPr>
          <w:sz w:val="21"/>
          <w:lang w:val="hr-HR"/>
        </w:rPr>
      </w:pPr>
      <w:r>
        <w:rPr>
          <w:sz w:val="21"/>
          <w:lang w:val="en-US"/>
        </w:rPr>
        <w:t>4.</w:t>
      </w:r>
      <w:r>
        <w:rPr>
          <w:rFonts w:hint="eastAsia"/>
          <w:sz w:val="21"/>
          <w:lang w:val="hr-HR"/>
        </w:rPr>
        <w:t>上述款项均不计算利息。成交供应商应严格按税收政策规定，向工程所在地税务机关申报预缴增值税等各项税款，在收取工程款时，向采购人提供税款缴纳凭证及增值税发票。</w:t>
      </w:r>
    </w:p>
    <w:p>
      <w:pPr>
        <w:pStyle w:val="25"/>
        <w:spacing w:line="360" w:lineRule="auto"/>
        <w:ind w:firstLine="420" w:firstLineChars="200"/>
        <w:rPr>
          <w:sz w:val="21"/>
          <w:lang w:val="hr-HR"/>
        </w:rPr>
      </w:pPr>
      <w:r>
        <w:rPr>
          <w:sz w:val="21"/>
          <w:lang w:val="en-US"/>
        </w:rPr>
        <w:t>5.</w:t>
      </w:r>
      <w:r>
        <w:rPr>
          <w:rFonts w:hint="eastAsia"/>
          <w:sz w:val="21"/>
          <w:lang w:val="hr-HR"/>
        </w:rPr>
        <w:t>成交供应商凭以下有效文件与采购人结算：</w:t>
      </w:r>
    </w:p>
    <w:p>
      <w:pPr>
        <w:snapToGrid w:val="0"/>
        <w:spacing w:line="360" w:lineRule="auto"/>
        <w:ind w:firstLine="420" w:firstLineChars="200"/>
        <w:rPr>
          <w:sz w:val="21"/>
          <w:szCs w:val="21"/>
        </w:rPr>
      </w:pPr>
      <w:r>
        <w:rPr>
          <w:rFonts w:hint="eastAsia"/>
          <w:sz w:val="21"/>
          <w:szCs w:val="21"/>
        </w:rPr>
        <w:t>（</w:t>
      </w:r>
      <w:r>
        <w:rPr>
          <w:sz w:val="21"/>
          <w:szCs w:val="21"/>
        </w:rPr>
        <w:t>1）合同；</w:t>
      </w:r>
    </w:p>
    <w:p>
      <w:pPr>
        <w:snapToGrid w:val="0"/>
        <w:spacing w:line="360" w:lineRule="auto"/>
        <w:ind w:firstLine="420" w:firstLineChars="200"/>
        <w:rPr>
          <w:sz w:val="21"/>
          <w:szCs w:val="21"/>
        </w:rPr>
      </w:pPr>
      <w:r>
        <w:rPr>
          <w:rFonts w:hint="eastAsia"/>
          <w:sz w:val="21"/>
          <w:szCs w:val="21"/>
        </w:rPr>
        <w:t>（</w:t>
      </w:r>
      <w:r>
        <w:rPr>
          <w:sz w:val="21"/>
          <w:szCs w:val="21"/>
        </w:rPr>
        <w:t>2）成交供应商提供税款缴纳凭证及增值税发票；</w:t>
      </w:r>
    </w:p>
    <w:p>
      <w:pPr>
        <w:snapToGrid w:val="0"/>
        <w:spacing w:line="360" w:lineRule="auto"/>
        <w:ind w:firstLine="420" w:firstLineChars="200"/>
        <w:rPr>
          <w:sz w:val="21"/>
          <w:szCs w:val="21"/>
        </w:rPr>
      </w:pPr>
      <w:r>
        <w:rPr>
          <w:rFonts w:hint="eastAsia"/>
          <w:sz w:val="21"/>
          <w:szCs w:val="21"/>
        </w:rPr>
        <w:t>（</w:t>
      </w:r>
      <w:r>
        <w:rPr>
          <w:sz w:val="21"/>
          <w:szCs w:val="21"/>
        </w:rPr>
        <w:t>3）成交通知书。</w:t>
      </w:r>
    </w:p>
    <w:p>
      <w:pPr>
        <w:snapToGrid w:val="0"/>
        <w:spacing w:line="360" w:lineRule="auto"/>
        <w:ind w:firstLine="420" w:firstLineChars="200"/>
      </w:pPr>
      <w:r>
        <w:rPr>
          <w:sz w:val="21"/>
          <w:lang w:val="en-US"/>
        </w:rPr>
        <w:t>6.</w:t>
      </w:r>
      <w:r>
        <w:rPr>
          <w:rFonts w:hint="eastAsia"/>
          <w:sz w:val="21"/>
        </w:rPr>
        <w:t>因采购人使用的是财政资金，采购人在前款规定的付款时间为向采购支付部门提出办理财政支付申请手续的时间（不含政府财政支付部门审核的时间），在规定时间内提出支付申请手续后即视为采购人已经按期支付。</w:t>
      </w:r>
    </w:p>
    <w:p>
      <w:pPr>
        <w:snapToGrid w:val="0"/>
        <w:spacing w:line="360" w:lineRule="auto"/>
        <w:ind w:firstLine="540" w:firstLineChars="200"/>
        <w:rPr>
          <w:sz w:val="27"/>
        </w:rPr>
      </w:pPr>
    </w:p>
    <w:p>
      <w:pPr>
        <w:pStyle w:val="8"/>
        <w:spacing w:before="1"/>
        <w:rPr>
          <w:sz w:val="27"/>
        </w:rPr>
      </w:pPr>
    </w:p>
    <w:p>
      <w:pPr>
        <w:pStyle w:val="8"/>
        <w:spacing w:before="1"/>
        <w:rPr>
          <w:sz w:val="27"/>
        </w:rPr>
      </w:pPr>
    </w:p>
    <w:p>
      <w:pPr>
        <w:pStyle w:val="8"/>
        <w:spacing w:before="1"/>
        <w:rPr>
          <w:sz w:val="27"/>
        </w:rPr>
      </w:pPr>
    </w:p>
    <w:p>
      <w:pPr>
        <w:pStyle w:val="8"/>
        <w:spacing w:before="1"/>
        <w:rPr>
          <w:sz w:val="27"/>
        </w:rPr>
      </w:pPr>
    </w:p>
    <w:p>
      <w:pPr>
        <w:pStyle w:val="8"/>
        <w:spacing w:before="1"/>
        <w:rPr>
          <w:sz w:val="27"/>
        </w:rPr>
      </w:pPr>
    </w:p>
    <w:p>
      <w:pPr>
        <w:pStyle w:val="8"/>
        <w:spacing w:before="1"/>
        <w:rPr>
          <w:sz w:val="27"/>
        </w:rPr>
      </w:pPr>
    </w:p>
    <w:p>
      <w:pPr>
        <w:pStyle w:val="8"/>
        <w:spacing w:before="1"/>
        <w:rPr>
          <w:sz w:val="27"/>
        </w:rPr>
      </w:pPr>
    </w:p>
    <w:p>
      <w:pPr>
        <w:pStyle w:val="8"/>
        <w:spacing w:before="1"/>
        <w:rPr>
          <w:sz w:val="27"/>
        </w:rPr>
      </w:pPr>
    </w:p>
    <w:p>
      <w:pPr>
        <w:pStyle w:val="8"/>
        <w:spacing w:before="1"/>
        <w:rPr>
          <w:sz w:val="27"/>
        </w:rPr>
      </w:pPr>
    </w:p>
    <w:p>
      <w:pPr>
        <w:pStyle w:val="8"/>
        <w:spacing w:before="1"/>
        <w:rPr>
          <w:sz w:val="27"/>
        </w:rPr>
      </w:pPr>
    </w:p>
    <w:p>
      <w:pPr>
        <w:widowControl/>
        <w:autoSpaceDE/>
        <w:autoSpaceDN/>
        <w:rPr>
          <w:b/>
          <w:bCs/>
          <w:sz w:val="52"/>
          <w:szCs w:val="52"/>
        </w:rPr>
      </w:pPr>
      <w:bookmarkStart w:id="127" w:name="_Toc24953"/>
      <w:bookmarkStart w:id="128" w:name="_Toc29454"/>
      <w:bookmarkStart w:id="129" w:name="_Toc21720_WPSOffice_Level1"/>
      <w:bookmarkStart w:id="130" w:name="_Toc26542"/>
      <w:r>
        <w:rPr>
          <w:b/>
          <w:bCs/>
          <w:sz w:val="52"/>
          <w:szCs w:val="52"/>
        </w:rPr>
        <w:br w:type="page"/>
      </w:r>
    </w:p>
    <w:p>
      <w:pPr>
        <w:pStyle w:val="12"/>
        <w:rPr>
          <w:b/>
          <w:bCs/>
          <w:sz w:val="52"/>
          <w:szCs w:val="52"/>
        </w:rPr>
      </w:pPr>
    </w:p>
    <w:p>
      <w:pPr>
        <w:pStyle w:val="12"/>
        <w:rPr>
          <w:b/>
          <w:bCs/>
          <w:sz w:val="52"/>
          <w:szCs w:val="52"/>
        </w:rPr>
      </w:pPr>
    </w:p>
    <w:p>
      <w:pPr>
        <w:pStyle w:val="12"/>
        <w:rPr>
          <w:b/>
          <w:bCs/>
          <w:sz w:val="52"/>
          <w:szCs w:val="52"/>
        </w:rPr>
      </w:pPr>
    </w:p>
    <w:p>
      <w:pPr>
        <w:pStyle w:val="12"/>
        <w:rPr>
          <w:b/>
          <w:bCs/>
          <w:sz w:val="52"/>
          <w:szCs w:val="52"/>
        </w:rPr>
      </w:pPr>
    </w:p>
    <w:p>
      <w:pPr>
        <w:pStyle w:val="17"/>
        <w:ind w:firstLine="0" w:firstLineChars="0"/>
        <w:jc w:val="both"/>
        <w:rPr>
          <w:rFonts w:ascii="宋体" w:hAnsi="宋体"/>
          <w:b/>
          <w:bCs/>
          <w:sz w:val="52"/>
          <w:szCs w:val="52"/>
        </w:rPr>
      </w:pPr>
    </w:p>
    <w:p>
      <w:pPr>
        <w:jc w:val="center"/>
        <w:outlineLvl w:val="0"/>
        <w:rPr>
          <w:b/>
          <w:bCs/>
          <w:sz w:val="52"/>
          <w:szCs w:val="52"/>
        </w:rPr>
      </w:pPr>
      <w:bookmarkStart w:id="131" w:name="_Toc4688"/>
      <w:bookmarkStart w:id="132" w:name="_Toc2393"/>
      <w:bookmarkStart w:id="133" w:name="_Toc28615"/>
      <w:r>
        <w:rPr>
          <w:rFonts w:hint="eastAsia"/>
          <w:b/>
          <w:bCs/>
          <w:sz w:val="52"/>
          <w:szCs w:val="52"/>
        </w:rPr>
        <w:t>第三部分</w:t>
      </w:r>
      <w:r>
        <w:rPr>
          <w:b/>
          <w:bCs/>
          <w:sz w:val="52"/>
          <w:szCs w:val="52"/>
          <w:lang w:val="en-US"/>
        </w:rPr>
        <w:t xml:space="preserve">  </w:t>
      </w:r>
      <w:r>
        <w:rPr>
          <w:rFonts w:hint="eastAsia"/>
          <w:b/>
          <w:bCs/>
          <w:sz w:val="52"/>
          <w:szCs w:val="52"/>
        </w:rPr>
        <w:t>磋商须知</w:t>
      </w:r>
      <w:bookmarkEnd w:id="127"/>
      <w:bookmarkEnd w:id="128"/>
      <w:bookmarkEnd w:id="129"/>
      <w:bookmarkEnd w:id="130"/>
      <w:bookmarkEnd w:id="131"/>
      <w:bookmarkEnd w:id="132"/>
      <w:bookmarkEnd w:id="133"/>
    </w:p>
    <w:p>
      <w:pPr>
        <w:sectPr>
          <w:footerReference r:id="rId4" w:type="default"/>
          <w:pgSz w:w="11910" w:h="16840"/>
          <w:pgMar w:top="1440" w:right="1080" w:bottom="1440" w:left="1253" w:header="945" w:footer="893" w:gutter="0"/>
          <w:cols w:space="720" w:num="1"/>
        </w:sectPr>
      </w:pPr>
    </w:p>
    <w:p>
      <w:pPr>
        <w:spacing w:before="120" w:beforeLines="50" w:after="120" w:afterLines="50" w:line="360" w:lineRule="auto"/>
        <w:outlineLvl w:val="1"/>
        <w:rPr>
          <w:b/>
          <w:sz w:val="21"/>
          <w:szCs w:val="21"/>
        </w:rPr>
      </w:pPr>
      <w:bookmarkStart w:id="134" w:name="_bookmark13"/>
      <w:bookmarkEnd w:id="134"/>
      <w:bookmarkStart w:id="135" w:name="_Toc20534"/>
      <w:bookmarkStart w:id="136" w:name="_Toc15175"/>
      <w:bookmarkStart w:id="137" w:name="_Toc29987"/>
      <w:bookmarkStart w:id="138" w:name="_Toc8101"/>
      <w:r>
        <w:rPr>
          <w:rFonts w:hint="eastAsia"/>
          <w:b/>
          <w:sz w:val="21"/>
          <w:szCs w:val="21"/>
          <w:lang w:val="en-US"/>
        </w:rPr>
        <w:t>一、说</w:t>
      </w:r>
      <w:r>
        <w:rPr>
          <w:b/>
          <w:sz w:val="21"/>
          <w:szCs w:val="21"/>
          <w:lang w:val="en-US"/>
        </w:rPr>
        <w:t xml:space="preserve">  </w:t>
      </w:r>
      <w:r>
        <w:rPr>
          <w:rFonts w:hint="eastAsia"/>
          <w:b/>
          <w:sz w:val="21"/>
          <w:szCs w:val="21"/>
          <w:lang w:val="en-US"/>
        </w:rPr>
        <w:t>明</w:t>
      </w:r>
      <w:bookmarkEnd w:id="135"/>
      <w:bookmarkEnd w:id="136"/>
      <w:bookmarkEnd w:id="137"/>
      <w:bookmarkEnd w:id="138"/>
    </w:p>
    <w:p>
      <w:pPr>
        <w:spacing w:before="25" w:after="60" w:afterLines="25" w:line="360" w:lineRule="auto"/>
        <w:rPr>
          <w:sz w:val="21"/>
          <w:szCs w:val="21"/>
        </w:rPr>
      </w:pPr>
      <w:r>
        <w:rPr>
          <w:sz w:val="21"/>
          <w:szCs w:val="21"/>
          <w:lang w:val="en-US"/>
        </w:rPr>
        <w:t xml:space="preserve">1. </w:t>
      </w:r>
      <w:r>
        <w:rPr>
          <w:rFonts w:hint="eastAsia"/>
          <w:sz w:val="21"/>
          <w:szCs w:val="21"/>
          <w:lang w:val="en-US"/>
        </w:rPr>
        <w:t>适用范围</w:t>
      </w:r>
    </w:p>
    <w:p>
      <w:pPr>
        <w:spacing w:before="25" w:after="60" w:afterLines="25" w:line="360" w:lineRule="auto"/>
        <w:ind w:left="420" w:hanging="420" w:hangingChars="200"/>
        <w:rPr>
          <w:sz w:val="21"/>
          <w:szCs w:val="21"/>
          <w:lang w:val="en-US"/>
        </w:rPr>
      </w:pPr>
      <w:r>
        <w:rPr>
          <w:sz w:val="21"/>
          <w:szCs w:val="21"/>
          <w:lang w:val="en-US"/>
        </w:rPr>
        <w:t xml:space="preserve">1.1 </w:t>
      </w:r>
      <w:r>
        <w:rPr>
          <w:rFonts w:hint="eastAsia"/>
          <w:sz w:val="21"/>
          <w:szCs w:val="21"/>
          <w:lang w:val="en-US"/>
        </w:rPr>
        <w:t>本磋商文件仅适用于本磋商邀请中所述的乐平镇工业园区三丫涌桥工程。</w:t>
      </w:r>
    </w:p>
    <w:p>
      <w:pPr>
        <w:spacing w:before="25" w:after="60" w:afterLines="25" w:line="360" w:lineRule="auto"/>
        <w:rPr>
          <w:sz w:val="21"/>
          <w:szCs w:val="21"/>
        </w:rPr>
      </w:pPr>
      <w:r>
        <w:rPr>
          <w:sz w:val="21"/>
          <w:szCs w:val="21"/>
          <w:lang w:val="en-US"/>
        </w:rPr>
        <w:t xml:space="preserve">2. </w:t>
      </w:r>
      <w:r>
        <w:rPr>
          <w:rFonts w:hint="eastAsia"/>
          <w:sz w:val="21"/>
          <w:szCs w:val="21"/>
          <w:lang w:val="en-US"/>
        </w:rPr>
        <w:t>定义</w:t>
      </w:r>
    </w:p>
    <w:p>
      <w:pPr>
        <w:spacing w:before="25" w:after="60" w:afterLines="25" w:line="360" w:lineRule="auto"/>
        <w:rPr>
          <w:sz w:val="21"/>
          <w:szCs w:val="21"/>
          <w:lang w:val="en-US"/>
        </w:rPr>
      </w:pPr>
      <w:r>
        <w:rPr>
          <w:sz w:val="21"/>
          <w:szCs w:val="21"/>
          <w:lang w:val="en-US"/>
        </w:rPr>
        <w:t xml:space="preserve">2.1 </w:t>
      </w:r>
      <w:r>
        <w:rPr>
          <w:rFonts w:hint="eastAsia"/>
          <w:sz w:val="21"/>
          <w:szCs w:val="21"/>
          <w:lang w:val="en-US"/>
        </w:rPr>
        <w:t>“采购人”是指：佛山市三水海江怡乐建设投资有限公司。</w:t>
      </w:r>
    </w:p>
    <w:p>
      <w:pPr>
        <w:spacing w:before="25" w:after="60" w:afterLines="25" w:line="360" w:lineRule="auto"/>
        <w:rPr>
          <w:sz w:val="21"/>
          <w:szCs w:val="21"/>
        </w:rPr>
      </w:pPr>
      <w:r>
        <w:rPr>
          <w:sz w:val="21"/>
          <w:szCs w:val="21"/>
          <w:lang w:val="en-US"/>
        </w:rPr>
        <w:t xml:space="preserve">2.2 </w:t>
      </w:r>
      <w:r>
        <w:rPr>
          <w:rFonts w:hint="eastAsia"/>
          <w:sz w:val="21"/>
          <w:szCs w:val="21"/>
          <w:lang w:val="en-US"/>
        </w:rPr>
        <w:t>“采购代理机构”是指：广东华盈工程管理有限公司。</w:t>
      </w:r>
    </w:p>
    <w:p>
      <w:pPr>
        <w:spacing w:before="25" w:after="60" w:afterLines="25" w:line="360" w:lineRule="auto"/>
        <w:rPr>
          <w:sz w:val="21"/>
          <w:szCs w:val="21"/>
        </w:rPr>
      </w:pPr>
      <w:r>
        <w:rPr>
          <w:sz w:val="21"/>
          <w:szCs w:val="21"/>
          <w:lang w:val="en-US"/>
        </w:rPr>
        <w:t xml:space="preserve">2.3 </w:t>
      </w:r>
      <w:r>
        <w:rPr>
          <w:rFonts w:hint="eastAsia"/>
          <w:sz w:val="21"/>
          <w:szCs w:val="21"/>
          <w:lang w:val="en-US"/>
        </w:rPr>
        <w:t>“响应供应商”是指响应本文件要求，参加磋商的法人或者其他组织。</w:t>
      </w:r>
    </w:p>
    <w:p>
      <w:pPr>
        <w:spacing w:before="25" w:after="60" w:afterLines="25" w:line="360" w:lineRule="auto"/>
        <w:rPr>
          <w:sz w:val="21"/>
          <w:szCs w:val="21"/>
        </w:rPr>
      </w:pPr>
      <w:r>
        <w:rPr>
          <w:sz w:val="21"/>
          <w:szCs w:val="21"/>
          <w:lang w:val="en-US"/>
        </w:rPr>
        <w:t xml:space="preserve">2.4 </w:t>
      </w:r>
      <w:r>
        <w:rPr>
          <w:rFonts w:hint="eastAsia"/>
          <w:sz w:val="21"/>
          <w:szCs w:val="21"/>
          <w:lang w:val="en-US"/>
        </w:rPr>
        <w:t>合格的“响应供应商”是指：</w:t>
      </w:r>
    </w:p>
    <w:p>
      <w:pPr>
        <w:spacing w:before="60" w:beforeLines="25" w:after="60" w:afterLines="25" w:line="360" w:lineRule="auto"/>
        <w:ind w:left="440" w:leftChars="200"/>
        <w:rPr>
          <w:sz w:val="21"/>
          <w:szCs w:val="21"/>
        </w:rPr>
      </w:pPr>
      <w:r>
        <w:rPr>
          <w:sz w:val="21"/>
          <w:szCs w:val="21"/>
          <w:lang w:val="en-US"/>
        </w:rPr>
        <w:t>1）符合《</w:t>
      </w:r>
      <w:r>
        <w:rPr>
          <w:rFonts w:hint="eastAsia"/>
          <w:sz w:val="21"/>
          <w:szCs w:val="21"/>
          <w:lang w:val="en-US"/>
        </w:rPr>
        <w:t>中华人民共和国政府采购法》第二十二条规定的供应商。</w:t>
      </w:r>
    </w:p>
    <w:p>
      <w:pPr>
        <w:spacing w:before="60" w:beforeLines="25" w:after="60" w:afterLines="25" w:line="360" w:lineRule="auto"/>
        <w:ind w:left="440" w:leftChars="200"/>
        <w:rPr>
          <w:sz w:val="21"/>
          <w:szCs w:val="21"/>
        </w:rPr>
      </w:pPr>
      <w:r>
        <w:rPr>
          <w:sz w:val="21"/>
          <w:szCs w:val="21"/>
          <w:lang w:val="en-US"/>
        </w:rPr>
        <w:t>2）符合磋商文件规定的资格要求。</w:t>
      </w:r>
    </w:p>
    <w:p>
      <w:pPr>
        <w:spacing w:before="60" w:beforeLines="25" w:after="60" w:afterLines="25" w:line="360" w:lineRule="auto"/>
        <w:ind w:left="440" w:leftChars="200"/>
        <w:rPr>
          <w:sz w:val="21"/>
          <w:szCs w:val="21"/>
        </w:rPr>
      </w:pPr>
      <w:r>
        <w:rPr>
          <w:sz w:val="21"/>
          <w:szCs w:val="21"/>
          <w:lang w:val="en-US"/>
        </w:rPr>
        <w:t>3）符合本磋商文件采购项目的特殊条件要求。</w:t>
      </w:r>
    </w:p>
    <w:p>
      <w:pPr>
        <w:spacing w:before="25" w:after="60" w:afterLines="25" w:line="360" w:lineRule="auto"/>
        <w:rPr>
          <w:sz w:val="21"/>
          <w:szCs w:val="21"/>
        </w:rPr>
      </w:pPr>
      <w:r>
        <w:rPr>
          <w:sz w:val="21"/>
          <w:szCs w:val="21"/>
          <w:lang w:val="en-US"/>
        </w:rPr>
        <w:t xml:space="preserve">2.5 </w:t>
      </w:r>
      <w:r>
        <w:rPr>
          <w:rFonts w:hint="eastAsia"/>
          <w:sz w:val="21"/>
          <w:szCs w:val="21"/>
          <w:lang w:val="en-US"/>
        </w:rPr>
        <w:t>关于分公司参与磋商</w:t>
      </w:r>
    </w:p>
    <w:p>
      <w:pPr>
        <w:spacing w:before="25" w:after="60" w:afterLines="25" w:line="360" w:lineRule="auto"/>
        <w:ind w:left="440" w:leftChars="200"/>
        <w:rPr>
          <w:sz w:val="21"/>
          <w:szCs w:val="21"/>
        </w:rPr>
      </w:pPr>
      <w:r>
        <w:rPr>
          <w:rFonts w:hint="eastAsia"/>
          <w:sz w:val="21"/>
          <w:szCs w:val="21"/>
          <w:lang w:val="en-US"/>
        </w:rPr>
        <w:t>分公司磋商的，需提供加盖公章的具有法人资格的总公司的营业执照副本复印件及授权书。总公司可就本项目或此类项目在一定范围或时间内出具授权书。已由总公司授权的，总公司取得的相关资质证书对分公司有效，法律法规或者行业另有规定的除外。</w:t>
      </w:r>
    </w:p>
    <w:p>
      <w:pPr>
        <w:spacing w:before="25" w:after="60" w:afterLines="25" w:line="360" w:lineRule="auto"/>
        <w:rPr>
          <w:sz w:val="21"/>
          <w:szCs w:val="21"/>
        </w:rPr>
      </w:pPr>
      <w:r>
        <w:rPr>
          <w:sz w:val="21"/>
          <w:szCs w:val="21"/>
          <w:lang w:val="en-US"/>
        </w:rPr>
        <w:t xml:space="preserve">2.6 </w:t>
      </w:r>
      <w:r>
        <w:rPr>
          <w:rFonts w:hint="eastAsia"/>
          <w:sz w:val="21"/>
          <w:szCs w:val="21"/>
          <w:lang w:val="en-US"/>
        </w:rPr>
        <w:t>“成交供应商”是指经法定程序确定并授予合同的响应人。</w:t>
      </w:r>
    </w:p>
    <w:p>
      <w:pPr>
        <w:spacing w:before="25" w:after="60" w:afterLines="25" w:line="360" w:lineRule="auto"/>
        <w:ind w:left="420" w:hanging="420" w:hangingChars="200"/>
        <w:rPr>
          <w:sz w:val="21"/>
          <w:szCs w:val="21"/>
        </w:rPr>
      </w:pPr>
      <w:r>
        <w:rPr>
          <w:sz w:val="21"/>
          <w:szCs w:val="21"/>
          <w:lang w:val="en-US"/>
        </w:rPr>
        <w:t xml:space="preserve">2.7 </w:t>
      </w:r>
      <w:r>
        <w:rPr>
          <w:rFonts w:hint="eastAsia"/>
          <w:sz w:val="21"/>
          <w:szCs w:val="21"/>
          <w:lang w:val="en-US"/>
        </w:rPr>
        <w:t>“竞争性磋商响应文件”是指：供应商根据本文件要求，编制包含报价、技术和服务等所有内容的实质性响应文件。</w:t>
      </w:r>
    </w:p>
    <w:p>
      <w:pPr>
        <w:spacing w:before="25" w:after="60" w:afterLines="25" w:line="360" w:lineRule="auto"/>
        <w:ind w:left="420" w:hanging="420" w:hangingChars="200"/>
        <w:rPr>
          <w:sz w:val="21"/>
          <w:szCs w:val="21"/>
        </w:rPr>
      </w:pPr>
      <w:r>
        <w:rPr>
          <w:sz w:val="21"/>
          <w:szCs w:val="21"/>
          <w:lang w:val="en-US"/>
        </w:rPr>
        <w:t xml:space="preserve">2.8 </w:t>
      </w:r>
      <w:r>
        <w:rPr>
          <w:rFonts w:hint="eastAsia"/>
          <w:sz w:val="21"/>
          <w:szCs w:val="21"/>
          <w:lang w:val="en-US"/>
        </w:rPr>
        <w:t>“重大违法记录”是指供应商因违法经营受到刑事处罚或者责令停产停业、吊销许可证或者执照、较大数额罚款等行政处罚。</w:t>
      </w:r>
    </w:p>
    <w:p>
      <w:pPr>
        <w:spacing w:before="60" w:beforeLines="25" w:after="60" w:afterLines="25" w:line="360" w:lineRule="auto"/>
        <w:rPr>
          <w:b/>
          <w:sz w:val="21"/>
          <w:szCs w:val="21"/>
        </w:rPr>
      </w:pPr>
      <w:r>
        <w:rPr>
          <w:b/>
          <w:sz w:val="21"/>
          <w:szCs w:val="21"/>
          <w:lang w:val="en-US"/>
        </w:rPr>
        <w:t xml:space="preserve">2.9 </w:t>
      </w:r>
      <w:r>
        <w:rPr>
          <w:rFonts w:hint="eastAsia"/>
          <w:b/>
          <w:sz w:val="21"/>
          <w:szCs w:val="21"/>
          <w:lang w:val="en-US"/>
        </w:rPr>
        <w:t>本项目确定成交供应商数量为一家。</w:t>
      </w:r>
    </w:p>
    <w:p>
      <w:pPr>
        <w:spacing w:before="60" w:beforeLines="25" w:after="25" w:line="360" w:lineRule="auto"/>
        <w:rPr>
          <w:sz w:val="21"/>
          <w:szCs w:val="21"/>
          <w:lang w:val="en-US"/>
        </w:rPr>
      </w:pPr>
      <w:r>
        <w:rPr>
          <w:sz w:val="21"/>
          <w:szCs w:val="21"/>
          <w:lang w:val="en-US"/>
        </w:rPr>
        <w:t xml:space="preserve">3. </w:t>
      </w:r>
      <w:r>
        <w:rPr>
          <w:rFonts w:hint="eastAsia"/>
          <w:sz w:val="21"/>
          <w:szCs w:val="21"/>
          <w:lang w:val="en-US"/>
        </w:rPr>
        <w:t>合格的货物、服务和工程</w:t>
      </w:r>
    </w:p>
    <w:p>
      <w:pPr>
        <w:spacing w:before="25" w:after="60" w:afterLines="25" w:line="360" w:lineRule="auto"/>
        <w:ind w:left="420" w:hanging="420" w:hangingChars="200"/>
        <w:rPr>
          <w:sz w:val="21"/>
          <w:szCs w:val="21"/>
        </w:rPr>
      </w:pPr>
      <w:r>
        <w:rPr>
          <w:sz w:val="21"/>
          <w:szCs w:val="21"/>
          <w:lang w:val="en-US"/>
        </w:rPr>
        <w:t xml:space="preserve">3.1 </w:t>
      </w:r>
      <w:r>
        <w:rPr>
          <w:rFonts w:hint="eastAsia"/>
          <w:sz w:val="21"/>
          <w:szCs w:val="21"/>
          <w:lang w:val="en-US"/>
        </w:rPr>
        <w:t>“货物”是指响应供应商制造或组织符合磋商文件要求的货物等。磋商文件中没有提及采购货物来源地的，根据《中华人民共和国政府采购法》的相关规定均应是本国货物。货物必须是合法生产、合法来源的符合国家有关标准要求的货物，并满足本磋商文件规定的规格、参数、质量、价格、有效期、售后服务等要求。</w:t>
      </w:r>
    </w:p>
    <w:p>
      <w:pPr>
        <w:spacing w:before="25" w:after="60" w:afterLines="25" w:line="360" w:lineRule="auto"/>
        <w:ind w:left="420" w:hanging="420" w:hangingChars="200"/>
        <w:rPr>
          <w:sz w:val="21"/>
          <w:szCs w:val="21"/>
          <w:lang w:val="en-US"/>
        </w:rPr>
      </w:pPr>
      <w:r>
        <w:rPr>
          <w:sz w:val="21"/>
          <w:szCs w:val="21"/>
          <w:lang w:val="en-US"/>
        </w:rPr>
        <w:t xml:space="preserve">3.2 </w:t>
      </w:r>
      <w:r>
        <w:rPr>
          <w:rFonts w:hint="eastAsia"/>
          <w:sz w:val="21"/>
          <w:szCs w:val="21"/>
          <w:lang w:val="en-US"/>
        </w:rPr>
        <w:t>“服务”是指除货物和工程以外的其他采购对象</w:t>
      </w:r>
      <w:r>
        <w:rPr>
          <w:sz w:val="21"/>
          <w:szCs w:val="21"/>
          <w:lang w:val="en-US"/>
        </w:rPr>
        <w:t>,其中包括：响应供应商须承担的运输、安装、技术支持、培训以及磋商文件规定的其它服务。</w:t>
      </w:r>
    </w:p>
    <w:p>
      <w:pPr>
        <w:spacing w:before="25" w:after="60" w:afterLines="25" w:line="360" w:lineRule="auto"/>
        <w:ind w:left="420" w:hanging="420" w:hangingChars="200"/>
        <w:rPr>
          <w:sz w:val="21"/>
          <w:szCs w:val="21"/>
        </w:rPr>
      </w:pPr>
      <w:r>
        <w:rPr>
          <w:sz w:val="21"/>
          <w:szCs w:val="21"/>
          <w:lang w:val="en-US"/>
        </w:rPr>
        <w:t>3.3“工程”满足国家相关法律、法规、规章等规定，并符合本项目相关质量要求、安全文明施工要求的工程。</w:t>
      </w:r>
      <w:r>
        <w:rPr>
          <w:rFonts w:hint="eastAsia"/>
          <w:sz w:val="21"/>
          <w:szCs w:val="21"/>
        </w:rPr>
        <w:t>相关服务必须符合中华人民共和国的行业标准。</w:t>
      </w:r>
    </w:p>
    <w:p>
      <w:pPr>
        <w:spacing w:before="60" w:beforeLines="25" w:after="25" w:line="360" w:lineRule="auto"/>
        <w:rPr>
          <w:sz w:val="21"/>
          <w:szCs w:val="21"/>
        </w:rPr>
      </w:pPr>
      <w:r>
        <w:rPr>
          <w:sz w:val="21"/>
          <w:szCs w:val="21"/>
          <w:lang w:val="en-US"/>
        </w:rPr>
        <w:t xml:space="preserve">4. </w:t>
      </w:r>
      <w:r>
        <w:rPr>
          <w:rFonts w:hint="eastAsia"/>
          <w:sz w:val="21"/>
          <w:szCs w:val="21"/>
          <w:lang w:val="en-US"/>
        </w:rPr>
        <w:t>磋商费用</w:t>
      </w:r>
    </w:p>
    <w:p>
      <w:pPr>
        <w:spacing w:before="60" w:beforeLines="25" w:after="25" w:line="360" w:lineRule="auto"/>
        <w:ind w:left="420" w:hanging="420" w:hangingChars="200"/>
        <w:rPr>
          <w:sz w:val="21"/>
          <w:szCs w:val="21"/>
          <w:lang w:val="en-US"/>
        </w:rPr>
      </w:pPr>
      <w:r>
        <w:rPr>
          <w:sz w:val="21"/>
          <w:szCs w:val="21"/>
          <w:lang w:val="en-US"/>
        </w:rPr>
        <w:t xml:space="preserve">4.1 </w:t>
      </w:r>
      <w:r>
        <w:rPr>
          <w:rFonts w:hint="eastAsia"/>
          <w:sz w:val="21"/>
          <w:szCs w:val="21"/>
          <w:lang w:val="en-US"/>
        </w:rPr>
        <w:t>响应供应商应承担所有与准备和参加磋商有关的费用。不论磋商的结果如何，采购代理机构和采购人均无义务和责任承担这些费用。</w:t>
      </w:r>
    </w:p>
    <w:p>
      <w:pPr>
        <w:spacing w:before="60" w:beforeLines="25" w:after="25" w:line="360" w:lineRule="auto"/>
        <w:ind w:left="422" w:hanging="422" w:hangingChars="200"/>
        <w:rPr>
          <w:sz w:val="21"/>
          <w:szCs w:val="21"/>
        </w:rPr>
      </w:pPr>
      <w:r>
        <w:rPr>
          <w:b/>
          <w:sz w:val="21"/>
          <w:szCs w:val="21"/>
          <w:lang w:val="en-US"/>
        </w:rPr>
        <w:t xml:space="preserve">4.2 本次磋商向成交供应商收取的采购代理服务费，按国家有关规定执行。  </w:t>
      </w:r>
    </w:p>
    <w:p>
      <w:pPr>
        <w:spacing w:before="60" w:beforeLines="25" w:after="60" w:afterLines="25" w:line="360" w:lineRule="auto"/>
        <w:ind w:firstLine="420" w:firstLineChars="200"/>
        <w:rPr>
          <w:sz w:val="21"/>
          <w:szCs w:val="21"/>
        </w:rPr>
      </w:pPr>
      <w:r>
        <w:rPr>
          <w:rFonts w:hint="eastAsia"/>
          <w:sz w:val="21"/>
          <w:szCs w:val="21"/>
          <w:lang w:val="en-US"/>
        </w:rPr>
        <w:t>采购代理服务费收费标准按国家计委颁布的《采购代理服务收费管理暂行办法》（计价格</w:t>
      </w:r>
      <w:r>
        <w:rPr>
          <w:sz w:val="21"/>
          <w:szCs w:val="21"/>
          <w:lang w:val="en-US"/>
        </w:rPr>
        <w:t xml:space="preserve">[2002]1980 </w:t>
      </w:r>
      <w:r>
        <w:rPr>
          <w:rFonts w:hint="eastAsia"/>
          <w:sz w:val="21"/>
          <w:szCs w:val="21"/>
          <w:lang w:val="en-US"/>
        </w:rPr>
        <w:t>号）执行计算收取。</w:t>
      </w:r>
    </w:p>
    <w:p>
      <w:pPr>
        <w:pStyle w:val="6"/>
        <w:widowControl/>
        <w:spacing w:before="60" w:beforeLines="25" w:after="60" w:afterLines="25" w:line="360" w:lineRule="auto"/>
        <w:ind w:left="0" w:firstLine="422" w:firstLineChars="200"/>
      </w:pPr>
      <w:r>
        <w:rPr>
          <w:rFonts w:hint="eastAsia"/>
          <w:lang w:val="en-US"/>
        </w:rPr>
        <w:t>采购</w:t>
      </w:r>
      <w:r>
        <w:rPr>
          <w:rFonts w:hint="eastAsia"/>
        </w:rPr>
        <w:t>代理服务收费标准</w:t>
      </w:r>
    </w:p>
    <w:tbl>
      <w:tblPr>
        <w:tblStyle w:val="18"/>
        <w:tblW w:w="8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40"/>
        <w:gridCol w:w="174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808" w:type="dxa"/>
            <w:tcBorders>
              <w:top w:val="single" w:color="auto" w:sz="4" w:space="0"/>
              <w:left w:val="single" w:color="auto" w:sz="4" w:space="0"/>
              <w:bottom w:val="single" w:color="auto" w:sz="4" w:space="0"/>
              <w:right w:val="single" w:color="auto" w:sz="4" w:space="0"/>
            </w:tcBorders>
          </w:tcPr>
          <w:p>
            <w:pPr>
              <w:spacing w:before="50" w:after="60" w:line="0" w:lineRule="atLeast"/>
              <w:ind w:firstLine="1551" w:firstLineChars="739"/>
              <w:rPr>
                <w:kern w:val="2"/>
                <w:sz w:val="21"/>
                <w:szCs w:val="21"/>
              </w:rPr>
            </w:pPr>
            <w:r>
              <w:rPr>
                <w:kern w:val="2"/>
                <w:sz w:val="21"/>
                <w:szCs w:val="21"/>
                <w:lang w:val="en-US" w:bidi="ar-SA"/>
              </w:rPr>
              <mc:AlternateContent>
                <mc:Choice Requires="wps">
                  <w:drawing>
                    <wp:anchor distT="0" distB="0" distL="114300" distR="114300" simplePos="0" relativeHeight="251668480" behindDoc="0" locked="0" layoutInCell="1" allowOverlap="1">
                      <wp:simplePos x="0" y="0"/>
                      <wp:positionH relativeFrom="column">
                        <wp:posOffset>390525</wp:posOffset>
                      </wp:positionH>
                      <wp:positionV relativeFrom="paragraph">
                        <wp:posOffset>3810</wp:posOffset>
                      </wp:positionV>
                      <wp:extent cx="1321435" cy="643255"/>
                      <wp:effectExtent l="1905" t="4445" r="10160" b="19050"/>
                      <wp:wrapNone/>
                      <wp:docPr id="20" name="任意多边形 20"/>
                      <wp:cNvGraphicFramePr/>
                      <a:graphic xmlns:a="http://schemas.openxmlformats.org/drawingml/2006/main">
                        <a:graphicData uri="http://schemas.microsoft.com/office/word/2010/wordprocessingShape">
                          <wps:wsp>
                            <wps:cNvSpPr/>
                            <wps:spPr>
                              <a:xfrm>
                                <a:off x="0" y="0"/>
                                <a:ext cx="1340485" cy="585470"/>
                              </a:xfrm>
                              <a:custGeom>
                                <a:avLst/>
                                <a:gdLst/>
                                <a:ahLst/>
                                <a:cxnLst/>
                                <a:rect l="0" t="0" r="0" b="0"/>
                                <a:pathLst>
                                  <a:path w="2111" h="922">
                                    <a:moveTo>
                                      <a:pt x="2111" y="922"/>
                                    </a:moveTo>
                                    <a:lnTo>
                                      <a:pt x="0" y="0"/>
                                    </a:lnTo>
                                  </a:path>
                                </a:pathLst>
                              </a:custGeom>
                              <a:noFill/>
                              <a:ln w="9525"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100" style="position:absolute;left:0pt;margin-left:30.75pt;margin-top:0.3pt;height:50.65pt;width:104.05pt;z-index:251668480;mso-width-relative:page;mso-height-relative:page;" filled="f" stroked="t" coordsize="2111,922" o:gfxdata="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PqeNdcAAAAHAQAADwAAAAAAAAABACAA&#10;AAAiAAAAZHJzL2Rvd25yZXYueG1sUEsBAhQAFAAAAAgAh07iQOvYq2dHAgAAwgQAAA4AAAAAAAAA&#10;AQAgAAAAJgEAAGRycy9lMm9Eb2MueG1sUEsFBgAAAAAGAAYAWQEAAN8FAAAAAA==&#10;" path="m2111,922l0,0e">
                      <v:fill on="f" focussize="0,0"/>
                      <v:stroke color="#000000" joinstyle="round"/>
                      <v:imagedata o:title=""/>
                      <o:lock v:ext="edit" aspectratio="f"/>
                    </v:shape>
                  </w:pict>
                </mc:Fallback>
              </mc:AlternateContent>
            </w:r>
            <w:r>
              <w:rPr>
                <w:rFonts w:hint="eastAsia"/>
                <w:kern w:val="2"/>
                <w:sz w:val="21"/>
                <w:szCs w:val="21"/>
              </w:rPr>
              <w:t>服务类型</w:t>
            </w:r>
          </w:p>
          <w:p>
            <w:pPr>
              <w:spacing w:before="50" w:after="60" w:line="0" w:lineRule="atLeast"/>
              <w:ind w:firstLine="938" w:firstLineChars="447"/>
              <w:rPr>
                <w:kern w:val="2"/>
                <w:sz w:val="21"/>
                <w:szCs w:val="21"/>
              </w:rPr>
            </w:pPr>
            <w:r>
              <w:rPr>
                <w:kern w:val="2"/>
                <w:sz w:val="21"/>
                <w:szCs w:val="21"/>
                <w:lang w:val="en-US" w:bidi="ar-SA"/>
              </w:rPr>
              <mc:AlternateContent>
                <mc:Choice Requires="wps">
                  <w:drawing>
                    <wp:anchor distT="0" distB="0" distL="114300" distR="114300" simplePos="0" relativeHeight="251669504" behindDoc="0" locked="0" layoutInCell="1" allowOverlap="1">
                      <wp:simplePos x="0" y="0"/>
                      <wp:positionH relativeFrom="column">
                        <wp:posOffset>-69215</wp:posOffset>
                      </wp:positionH>
                      <wp:positionV relativeFrom="paragraph">
                        <wp:posOffset>26035</wp:posOffset>
                      </wp:positionV>
                      <wp:extent cx="1790065" cy="380365"/>
                      <wp:effectExtent l="1270" t="4445" r="18415" b="15240"/>
                      <wp:wrapNone/>
                      <wp:docPr id="21" name="任意多边形 21"/>
                      <wp:cNvGraphicFramePr/>
                      <a:graphic xmlns:a="http://schemas.openxmlformats.org/drawingml/2006/main">
                        <a:graphicData uri="http://schemas.microsoft.com/office/word/2010/wordprocessingShape">
                          <wps:wsp>
                            <wps:cNvSpPr/>
                            <wps:spPr>
                              <a:xfrm>
                                <a:off x="0" y="0"/>
                                <a:ext cx="1771650" cy="352425"/>
                              </a:xfrm>
                              <a:custGeom>
                                <a:avLst/>
                                <a:gdLst/>
                                <a:ahLst/>
                                <a:cxnLst/>
                                <a:rect l="0" t="0" r="0" b="0"/>
                                <a:pathLst>
                                  <a:path w="2790" h="555">
                                    <a:moveTo>
                                      <a:pt x="2790" y="555"/>
                                    </a:moveTo>
                                    <a:lnTo>
                                      <a:pt x="0" y="0"/>
                                    </a:lnTo>
                                  </a:path>
                                </a:pathLst>
                              </a:custGeom>
                              <a:noFill/>
                              <a:ln w="9525" cap="flat" cmpd="sng">
                                <a:solidFill>
                                  <a:srgbClr val="000000"/>
                                </a:solidFill>
                                <a:prstDash val="solid"/>
                                <a:headEnd type="none" w="med" len="med"/>
                                <a:tailEnd type="none" w="med" len="med"/>
                              </a:ln>
                              <a:effectLst/>
                            </wps:spPr>
                            <wps:bodyPr upright="1"/>
                          </wps:wsp>
                        </a:graphicData>
                      </a:graphic>
                    </wp:anchor>
                  </w:drawing>
                </mc:Choice>
                <mc:Fallback>
                  <w:pict>
                    <v:shape id="_x0000_s1026" o:spid="_x0000_s1026" o:spt="100" style="position:absolute;left:0pt;margin-left:-5.45pt;margin-top:2.05pt;height:29.95pt;width:140.95pt;z-index:251669504;mso-width-relative:page;mso-height-relative:page;" filled="f" stroked="t" coordsize="2790,555" o:gfxdata="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VZXli2AAAAAgBAAAPAAAAAAAAAAEAIAAA&#10;ACIAAABkcnMvZG93bnJldi54bWxQSwECFAAUAAAACACHTuJAqADGVUUCAADCBAAADgAAAAAAAAAB&#10;ACAAAAAnAQAAZHJzL2Uyb0RvYy54bWxQSwUGAAAAAAYABgBZAQAA3gUAAAAA&#10;" path="m2790,555l0,0e">
                      <v:fill on="f" focussize="0,0"/>
                      <v:stroke color="#000000" joinstyle="round"/>
                      <v:imagedata o:title=""/>
                      <o:lock v:ext="edit" aspectratio="f"/>
                    </v:shape>
                  </w:pict>
                </mc:Fallback>
              </mc:AlternateContent>
            </w:r>
            <w:r>
              <w:rPr>
                <w:rFonts w:hint="eastAsia"/>
                <w:kern w:val="2"/>
                <w:sz w:val="21"/>
                <w:szCs w:val="21"/>
              </w:rPr>
              <w:t>费</w:t>
            </w:r>
            <w:r>
              <w:rPr>
                <w:kern w:val="2"/>
                <w:sz w:val="21"/>
                <w:szCs w:val="21"/>
              </w:rPr>
              <w:t xml:space="preserve"> 率 </w:t>
            </w:r>
          </w:p>
          <w:p>
            <w:pPr>
              <w:spacing w:before="50" w:after="60" w:line="0" w:lineRule="atLeast"/>
              <w:rPr>
                <w:kern w:val="2"/>
                <w:sz w:val="21"/>
                <w:szCs w:val="21"/>
              </w:rPr>
            </w:pPr>
            <w:r>
              <w:rPr>
                <w:rFonts w:hint="eastAsia"/>
                <w:kern w:val="2"/>
                <w:sz w:val="21"/>
                <w:szCs w:val="21"/>
                <w:lang w:val="en-US"/>
              </w:rPr>
              <w:t>成交</w:t>
            </w:r>
            <w:r>
              <w:rPr>
                <w:rFonts w:hint="eastAsia"/>
                <w:kern w:val="2"/>
                <w:sz w:val="21"/>
                <w:szCs w:val="21"/>
              </w:rPr>
              <w:t>金额（万元）</w:t>
            </w:r>
          </w:p>
        </w:tc>
        <w:tc>
          <w:tcPr>
            <w:tcW w:w="1740" w:type="dxa"/>
            <w:tcBorders>
              <w:top w:val="single" w:color="auto" w:sz="4" w:space="0"/>
              <w:left w:val="single" w:color="auto" w:sz="4" w:space="0"/>
              <w:bottom w:val="single" w:color="auto" w:sz="4" w:space="0"/>
              <w:right w:val="single" w:color="auto" w:sz="4" w:space="0"/>
            </w:tcBorders>
            <w:vAlign w:val="center"/>
          </w:tcPr>
          <w:p>
            <w:pPr>
              <w:spacing w:before="50" w:after="60" w:line="0" w:lineRule="atLeast"/>
              <w:ind w:firstLine="210" w:firstLineChars="100"/>
              <w:jc w:val="both"/>
              <w:rPr>
                <w:kern w:val="2"/>
                <w:sz w:val="21"/>
                <w:szCs w:val="21"/>
              </w:rPr>
            </w:pPr>
            <w:r>
              <w:rPr>
                <w:rFonts w:hint="eastAsia"/>
                <w:kern w:val="2"/>
                <w:sz w:val="21"/>
                <w:szCs w:val="21"/>
              </w:rPr>
              <w:t>货物</w:t>
            </w:r>
          </w:p>
        </w:tc>
        <w:tc>
          <w:tcPr>
            <w:tcW w:w="1740" w:type="dxa"/>
            <w:tcBorders>
              <w:top w:val="single" w:color="auto" w:sz="4" w:space="0"/>
              <w:left w:val="single" w:color="auto" w:sz="4" w:space="0"/>
              <w:bottom w:val="single" w:color="auto" w:sz="4" w:space="0"/>
              <w:right w:val="single" w:color="auto" w:sz="4" w:space="0"/>
            </w:tcBorders>
            <w:vAlign w:val="center"/>
          </w:tcPr>
          <w:p>
            <w:pPr>
              <w:spacing w:before="50" w:after="60" w:line="0" w:lineRule="atLeast"/>
              <w:ind w:firstLine="210" w:firstLineChars="100"/>
              <w:jc w:val="both"/>
              <w:rPr>
                <w:kern w:val="2"/>
                <w:sz w:val="21"/>
                <w:szCs w:val="21"/>
              </w:rPr>
            </w:pPr>
            <w:r>
              <w:rPr>
                <w:rFonts w:hint="eastAsia"/>
                <w:kern w:val="2"/>
                <w:sz w:val="21"/>
                <w:szCs w:val="21"/>
              </w:rPr>
              <w:t>服务</w:t>
            </w:r>
          </w:p>
        </w:tc>
        <w:tc>
          <w:tcPr>
            <w:tcW w:w="1740" w:type="dxa"/>
            <w:tcBorders>
              <w:top w:val="single" w:color="auto" w:sz="4" w:space="0"/>
              <w:left w:val="single" w:color="auto" w:sz="4" w:space="0"/>
              <w:bottom w:val="single" w:color="auto" w:sz="4" w:space="0"/>
              <w:right w:val="single" w:color="auto" w:sz="4" w:space="0"/>
            </w:tcBorders>
            <w:vAlign w:val="center"/>
          </w:tcPr>
          <w:p>
            <w:pPr>
              <w:spacing w:before="50" w:after="60" w:line="0" w:lineRule="atLeast"/>
              <w:ind w:firstLine="210" w:firstLineChars="100"/>
              <w:jc w:val="both"/>
              <w:rPr>
                <w:kern w:val="2"/>
                <w:sz w:val="21"/>
                <w:szCs w:val="21"/>
              </w:rPr>
            </w:pPr>
            <w:r>
              <w:rPr>
                <w:rFonts w:hint="eastAsia"/>
                <w:kern w:val="2"/>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100以下</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1.5%</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1.5%</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100-500</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1.1%</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0.8%</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500-1000</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0.8%</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0.45%</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1000-5000</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0.5%</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0.25%</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5000-10000</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0.25%</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0.1%</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8"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10000-100000</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0.05%</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0.05%</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2808"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1000000以上</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0.01%</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0.01%</w:t>
            </w:r>
          </w:p>
        </w:tc>
        <w:tc>
          <w:tcPr>
            <w:tcW w:w="1740" w:type="dxa"/>
            <w:tcBorders>
              <w:top w:val="single" w:color="auto" w:sz="4" w:space="0"/>
              <w:left w:val="single" w:color="auto" w:sz="4" w:space="0"/>
              <w:bottom w:val="single" w:color="auto" w:sz="4" w:space="0"/>
              <w:right w:val="single" w:color="auto" w:sz="4" w:space="0"/>
            </w:tcBorders>
          </w:tcPr>
          <w:p>
            <w:pPr>
              <w:spacing w:before="50" w:after="60" w:line="0" w:lineRule="atLeast"/>
              <w:ind w:firstLine="420" w:firstLineChars="200"/>
              <w:rPr>
                <w:kern w:val="2"/>
                <w:sz w:val="21"/>
                <w:szCs w:val="21"/>
              </w:rPr>
            </w:pPr>
            <w:r>
              <w:rPr>
                <w:kern w:val="2"/>
                <w:sz w:val="21"/>
                <w:szCs w:val="21"/>
              </w:rPr>
              <w:t>0.01%</w:t>
            </w:r>
          </w:p>
        </w:tc>
      </w:tr>
    </w:tbl>
    <w:p>
      <w:pPr>
        <w:spacing w:before="60" w:beforeLines="25" w:after="60" w:afterLines="25" w:line="360" w:lineRule="auto"/>
        <w:ind w:firstLine="420" w:firstLineChars="200"/>
        <w:rPr>
          <w:sz w:val="21"/>
          <w:szCs w:val="21"/>
        </w:rPr>
      </w:pPr>
      <w:r>
        <w:rPr>
          <w:rFonts w:hint="eastAsia"/>
          <w:sz w:val="21"/>
          <w:szCs w:val="21"/>
          <w:lang w:val="en-US"/>
        </w:rPr>
        <w:t>说明：</w:t>
      </w:r>
      <w:r>
        <w:rPr>
          <w:sz w:val="21"/>
          <w:szCs w:val="21"/>
          <w:lang w:val="en-US"/>
        </w:rPr>
        <w:t>1、本采购项目采购类型为</w:t>
      </w:r>
      <w:r>
        <w:rPr>
          <w:rFonts w:hint="eastAsia"/>
          <w:sz w:val="21"/>
          <w:szCs w:val="21"/>
          <w:u w:val="single"/>
          <w:lang w:val="en-US"/>
        </w:rPr>
        <w:t>工程类</w:t>
      </w:r>
      <w:r>
        <w:rPr>
          <w:rFonts w:hint="eastAsia"/>
          <w:sz w:val="21"/>
          <w:szCs w:val="21"/>
          <w:lang w:val="en-US"/>
        </w:rPr>
        <w:t>。</w:t>
      </w:r>
    </w:p>
    <w:p>
      <w:pPr>
        <w:spacing w:before="60" w:beforeLines="25" w:after="60" w:afterLines="25" w:line="360" w:lineRule="auto"/>
        <w:ind w:left="1520" w:leftChars="500" w:hanging="420" w:hangingChars="200"/>
        <w:rPr>
          <w:sz w:val="21"/>
          <w:szCs w:val="21"/>
        </w:rPr>
      </w:pPr>
      <w:r>
        <w:rPr>
          <w:sz w:val="21"/>
          <w:szCs w:val="21"/>
          <w:lang w:val="en-US"/>
        </w:rPr>
        <w:t xml:space="preserve">2、 </w:t>
      </w:r>
      <w:r>
        <w:rPr>
          <w:rFonts w:hint="eastAsia"/>
          <w:sz w:val="21"/>
          <w:szCs w:val="21"/>
          <w:lang w:val="en-US"/>
        </w:rPr>
        <w:t>成交服务费以人民币支付。</w:t>
      </w:r>
    </w:p>
    <w:p>
      <w:pPr>
        <w:spacing w:before="60" w:beforeLines="25" w:after="60" w:afterLines="25" w:line="360" w:lineRule="auto"/>
        <w:ind w:left="1520" w:leftChars="500" w:hanging="420" w:hangingChars="200"/>
        <w:rPr>
          <w:sz w:val="21"/>
          <w:szCs w:val="21"/>
        </w:rPr>
      </w:pPr>
      <w:r>
        <w:rPr>
          <w:sz w:val="21"/>
          <w:szCs w:val="21"/>
          <w:lang w:val="en-US"/>
        </w:rPr>
        <w:t xml:space="preserve">3、 </w:t>
      </w:r>
      <w:r>
        <w:rPr>
          <w:rFonts w:hint="eastAsia"/>
          <w:sz w:val="21"/>
          <w:szCs w:val="21"/>
          <w:lang w:val="en-US"/>
        </w:rPr>
        <w:t>成交服务费支付方式：一次性以电汇、支票或现金等形式支付。</w:t>
      </w:r>
    </w:p>
    <w:p>
      <w:pPr>
        <w:spacing w:before="60" w:beforeLines="25" w:after="60" w:afterLines="25" w:line="360" w:lineRule="auto"/>
        <w:ind w:left="1520" w:leftChars="500" w:hanging="420" w:hangingChars="200"/>
        <w:rPr>
          <w:sz w:val="21"/>
          <w:szCs w:val="21"/>
        </w:rPr>
      </w:pPr>
      <w:r>
        <w:rPr>
          <w:sz w:val="21"/>
          <w:szCs w:val="21"/>
          <w:lang w:val="en-US"/>
        </w:rPr>
        <w:t xml:space="preserve">4、 </w:t>
      </w:r>
      <w:r>
        <w:rPr>
          <w:rFonts w:hint="eastAsia"/>
          <w:sz w:val="21"/>
          <w:szCs w:val="21"/>
          <w:lang w:val="en-US"/>
        </w:rPr>
        <w:t>成交服务费不在磋商报价中单列。</w:t>
      </w:r>
    </w:p>
    <w:p>
      <w:pPr>
        <w:spacing w:before="60" w:beforeLines="25" w:after="60" w:afterLines="25" w:line="360" w:lineRule="auto"/>
        <w:ind w:left="1520" w:leftChars="500" w:hanging="420" w:hangingChars="200"/>
        <w:rPr>
          <w:sz w:val="21"/>
          <w:szCs w:val="21"/>
        </w:rPr>
      </w:pPr>
      <w:r>
        <w:rPr>
          <w:sz w:val="21"/>
          <w:szCs w:val="21"/>
          <w:lang w:val="en-US"/>
        </w:rPr>
        <w:t xml:space="preserve">5、 </w:t>
      </w:r>
      <w:r>
        <w:rPr>
          <w:rFonts w:hint="eastAsia"/>
          <w:sz w:val="21"/>
          <w:szCs w:val="21"/>
          <w:lang w:val="en-US"/>
        </w:rPr>
        <w:t>响应供应商如果不按规定交纳成交服务费，采购代理机构保留依法追索权利，并将其行为报告监管部门，列入失信行为名单。</w:t>
      </w:r>
    </w:p>
    <w:p>
      <w:pPr>
        <w:spacing w:before="60" w:beforeLines="25" w:after="60" w:afterLines="25" w:line="360" w:lineRule="auto"/>
        <w:ind w:left="1520" w:leftChars="500" w:hanging="420" w:hangingChars="200"/>
        <w:rPr>
          <w:sz w:val="21"/>
          <w:szCs w:val="21"/>
        </w:rPr>
      </w:pPr>
      <w:r>
        <w:rPr>
          <w:sz w:val="21"/>
          <w:szCs w:val="21"/>
          <w:lang w:val="en-US"/>
        </w:rPr>
        <w:t xml:space="preserve">6、 </w:t>
      </w:r>
      <w:r>
        <w:rPr>
          <w:rFonts w:hint="eastAsia"/>
          <w:sz w:val="21"/>
          <w:szCs w:val="21"/>
          <w:lang w:val="en-US"/>
        </w:rPr>
        <w:t>成交供应商须将成交服务费交纳到以下账户：</w:t>
      </w:r>
    </w:p>
    <w:p>
      <w:pPr>
        <w:spacing w:before="60" w:beforeLines="25" w:after="60" w:afterLines="25" w:line="360" w:lineRule="auto"/>
        <w:ind w:left="1100" w:leftChars="500" w:firstLine="420" w:firstLineChars="200"/>
        <w:rPr>
          <w:sz w:val="21"/>
          <w:szCs w:val="21"/>
        </w:rPr>
      </w:pPr>
      <w:r>
        <w:rPr>
          <w:rFonts w:hint="eastAsia"/>
          <w:sz w:val="21"/>
          <w:szCs w:val="21"/>
          <w:lang w:val="en-US"/>
        </w:rPr>
        <w:t>开户银行：中国建设银行股份有限公司佛山建宏支行</w:t>
      </w:r>
    </w:p>
    <w:p>
      <w:pPr>
        <w:spacing w:before="60" w:beforeLines="25" w:after="60" w:afterLines="25" w:line="360" w:lineRule="auto"/>
        <w:ind w:left="1100" w:leftChars="500" w:firstLine="420" w:firstLineChars="200"/>
        <w:rPr>
          <w:sz w:val="21"/>
          <w:szCs w:val="21"/>
        </w:rPr>
      </w:pPr>
      <w:r>
        <w:rPr>
          <w:rFonts w:hint="eastAsia"/>
          <w:sz w:val="21"/>
          <w:szCs w:val="21"/>
          <w:lang w:val="en-US"/>
        </w:rPr>
        <w:t>账</w:t>
      </w:r>
      <w:r>
        <w:rPr>
          <w:sz w:val="21"/>
          <w:szCs w:val="21"/>
          <w:lang w:val="en-US"/>
        </w:rPr>
        <w:tab/>
      </w:r>
      <w:r>
        <w:rPr>
          <w:rFonts w:hint="eastAsia"/>
          <w:sz w:val="21"/>
          <w:szCs w:val="21"/>
          <w:lang w:val="en-US"/>
        </w:rPr>
        <w:t>号：</w:t>
      </w:r>
      <w:r>
        <w:rPr>
          <w:sz w:val="21"/>
          <w:szCs w:val="21"/>
          <w:lang w:val="en-US"/>
        </w:rPr>
        <w:t>4405 0166 7125 0000 0949</w:t>
      </w:r>
    </w:p>
    <w:p>
      <w:pPr>
        <w:spacing w:before="60" w:beforeLines="25" w:after="60" w:afterLines="25" w:line="360" w:lineRule="auto"/>
        <w:ind w:left="1100" w:leftChars="500" w:firstLine="420" w:firstLineChars="200"/>
        <w:rPr>
          <w:sz w:val="21"/>
          <w:szCs w:val="21"/>
        </w:rPr>
      </w:pPr>
      <w:r>
        <w:rPr>
          <w:rFonts w:hint="eastAsia"/>
          <w:sz w:val="21"/>
          <w:szCs w:val="21"/>
          <w:lang w:val="en-US"/>
        </w:rPr>
        <w:t>收</w:t>
      </w:r>
      <w:r>
        <w:rPr>
          <w:sz w:val="21"/>
          <w:szCs w:val="21"/>
          <w:lang w:val="en-US"/>
        </w:rPr>
        <w:t xml:space="preserve"> </w:t>
      </w:r>
      <w:r>
        <w:rPr>
          <w:rFonts w:hint="eastAsia"/>
          <w:sz w:val="21"/>
          <w:szCs w:val="21"/>
          <w:lang w:val="en-US"/>
        </w:rPr>
        <w:t>款</w:t>
      </w:r>
      <w:r>
        <w:rPr>
          <w:sz w:val="21"/>
          <w:szCs w:val="21"/>
          <w:lang w:val="en-US"/>
        </w:rPr>
        <w:t xml:space="preserve"> </w:t>
      </w:r>
      <w:r>
        <w:rPr>
          <w:rFonts w:hint="eastAsia"/>
          <w:sz w:val="21"/>
          <w:szCs w:val="21"/>
          <w:lang w:val="en-US"/>
        </w:rPr>
        <w:t>人：广东华盈工程管理有限公司</w:t>
      </w:r>
    </w:p>
    <w:p>
      <w:pPr>
        <w:spacing w:before="60" w:beforeLines="25" w:after="60" w:afterLines="25" w:line="360" w:lineRule="auto"/>
        <w:ind w:firstLine="949" w:firstLineChars="450"/>
        <w:rPr>
          <w:b/>
          <w:sz w:val="21"/>
          <w:szCs w:val="21"/>
        </w:rPr>
      </w:pPr>
      <w:r>
        <w:rPr>
          <w:rFonts w:hint="eastAsia"/>
          <w:b/>
          <w:sz w:val="21"/>
          <w:szCs w:val="21"/>
          <w:lang w:val="en-US"/>
        </w:rPr>
        <w:t>注：以上银行的账户仅用于接受成交供应商缴纳的成交服务费。</w:t>
      </w:r>
    </w:p>
    <w:p>
      <w:pPr>
        <w:spacing w:before="120" w:beforeLines="50" w:after="120" w:afterLines="50" w:line="360" w:lineRule="auto"/>
        <w:outlineLvl w:val="1"/>
        <w:rPr>
          <w:b/>
          <w:sz w:val="21"/>
          <w:szCs w:val="21"/>
          <w:lang w:val="en-US"/>
        </w:rPr>
      </w:pPr>
      <w:bookmarkStart w:id="139" w:name="_bookmark14"/>
      <w:bookmarkEnd w:id="139"/>
      <w:bookmarkStart w:id="140" w:name="_Toc5851"/>
      <w:bookmarkStart w:id="141" w:name="_Toc15545"/>
      <w:bookmarkStart w:id="142" w:name="_Toc22677"/>
      <w:bookmarkStart w:id="143" w:name="_Toc3916"/>
      <w:r>
        <w:rPr>
          <w:rFonts w:hint="eastAsia"/>
          <w:b/>
          <w:sz w:val="21"/>
          <w:szCs w:val="21"/>
          <w:lang w:val="en-US"/>
        </w:rPr>
        <w:t>二、磋商文件</w:t>
      </w:r>
      <w:bookmarkEnd w:id="140"/>
      <w:bookmarkEnd w:id="141"/>
      <w:bookmarkEnd w:id="142"/>
      <w:bookmarkEnd w:id="143"/>
    </w:p>
    <w:p>
      <w:pPr>
        <w:spacing w:line="360" w:lineRule="auto"/>
        <w:rPr>
          <w:sz w:val="21"/>
          <w:szCs w:val="21"/>
        </w:rPr>
      </w:pPr>
      <w:r>
        <w:rPr>
          <w:sz w:val="21"/>
          <w:szCs w:val="21"/>
          <w:lang w:val="en-US"/>
        </w:rPr>
        <w:t xml:space="preserve">5. </w:t>
      </w:r>
      <w:r>
        <w:rPr>
          <w:rFonts w:hint="eastAsia"/>
          <w:sz w:val="21"/>
          <w:szCs w:val="21"/>
          <w:lang w:val="en-US"/>
        </w:rPr>
        <w:t>磋商文件的构成</w:t>
      </w:r>
    </w:p>
    <w:p>
      <w:pPr>
        <w:spacing w:line="360" w:lineRule="auto"/>
        <w:rPr>
          <w:sz w:val="21"/>
          <w:szCs w:val="21"/>
        </w:rPr>
      </w:pPr>
      <w:r>
        <w:rPr>
          <w:sz w:val="21"/>
          <w:szCs w:val="21"/>
          <w:lang w:val="en-US"/>
        </w:rPr>
        <w:t xml:space="preserve">5.1 磋商文件由下列文件以及在磋商过程中发出的修正和补充文件组成： </w:t>
      </w:r>
    </w:p>
    <w:p>
      <w:pPr>
        <w:spacing w:line="360" w:lineRule="auto"/>
        <w:ind w:left="440" w:leftChars="200"/>
        <w:rPr>
          <w:sz w:val="21"/>
          <w:szCs w:val="21"/>
        </w:rPr>
      </w:pPr>
      <w:r>
        <w:rPr>
          <w:sz w:val="21"/>
          <w:szCs w:val="21"/>
          <w:lang w:val="en-US"/>
        </w:rPr>
        <w:t>1）磋商邀请函</w:t>
      </w:r>
    </w:p>
    <w:p>
      <w:pPr>
        <w:spacing w:line="360" w:lineRule="auto"/>
        <w:ind w:left="440" w:leftChars="200"/>
        <w:rPr>
          <w:sz w:val="21"/>
          <w:szCs w:val="21"/>
        </w:rPr>
      </w:pPr>
      <w:r>
        <w:rPr>
          <w:sz w:val="21"/>
          <w:szCs w:val="21"/>
          <w:lang w:val="en-US"/>
        </w:rPr>
        <w:t xml:space="preserve">2）采购项目内容 </w:t>
      </w:r>
    </w:p>
    <w:p>
      <w:pPr>
        <w:spacing w:line="360" w:lineRule="auto"/>
        <w:ind w:left="440" w:leftChars="200"/>
        <w:rPr>
          <w:sz w:val="21"/>
          <w:szCs w:val="21"/>
        </w:rPr>
      </w:pPr>
      <w:r>
        <w:rPr>
          <w:sz w:val="21"/>
          <w:szCs w:val="21"/>
          <w:lang w:val="en-US"/>
        </w:rPr>
        <w:t>3）磋商须知</w:t>
      </w:r>
    </w:p>
    <w:p>
      <w:pPr>
        <w:spacing w:line="360" w:lineRule="auto"/>
        <w:ind w:left="440" w:leftChars="200"/>
        <w:rPr>
          <w:sz w:val="21"/>
          <w:szCs w:val="21"/>
        </w:rPr>
      </w:pPr>
      <w:r>
        <w:rPr>
          <w:sz w:val="21"/>
          <w:szCs w:val="21"/>
          <w:lang w:val="en-US"/>
        </w:rPr>
        <w:t>4）合同书格式</w:t>
      </w:r>
    </w:p>
    <w:p>
      <w:pPr>
        <w:spacing w:line="360" w:lineRule="auto"/>
        <w:ind w:left="440" w:leftChars="200"/>
        <w:rPr>
          <w:sz w:val="21"/>
          <w:szCs w:val="21"/>
        </w:rPr>
      </w:pPr>
      <w:r>
        <w:rPr>
          <w:sz w:val="21"/>
          <w:szCs w:val="21"/>
          <w:lang w:val="en-US"/>
        </w:rPr>
        <w:t>5）响应文件格式</w:t>
      </w:r>
    </w:p>
    <w:p>
      <w:pPr>
        <w:spacing w:line="360" w:lineRule="auto"/>
        <w:ind w:left="440" w:leftChars="200"/>
        <w:rPr>
          <w:sz w:val="21"/>
          <w:szCs w:val="21"/>
        </w:rPr>
      </w:pPr>
      <w:r>
        <w:rPr>
          <w:sz w:val="21"/>
          <w:szCs w:val="21"/>
          <w:lang w:val="en-US"/>
        </w:rPr>
        <w:t>6）在磋商过程中由采购代理机构发出的修正和补充文件等</w:t>
      </w:r>
    </w:p>
    <w:p>
      <w:pPr>
        <w:spacing w:after="60" w:afterLines="25" w:line="360" w:lineRule="auto"/>
        <w:ind w:left="420" w:hanging="420" w:hangingChars="200"/>
        <w:rPr>
          <w:sz w:val="21"/>
          <w:szCs w:val="21"/>
        </w:rPr>
      </w:pPr>
      <w:r>
        <w:rPr>
          <w:sz w:val="21"/>
          <w:szCs w:val="21"/>
          <w:lang w:val="en-US"/>
        </w:rPr>
        <w:t xml:space="preserve">5.2 </w:t>
      </w:r>
      <w:r>
        <w:rPr>
          <w:rFonts w:hint="eastAsia"/>
          <w:sz w:val="21"/>
          <w:szCs w:val="21"/>
          <w:lang w:val="en-US"/>
        </w:rPr>
        <w:t>响应供应商应认真阅读、并充分理解磋商文件的全部内容（包括所有的补充、修改内容、重要事项、格式、条款和技术规范、参数及要求等），响应供应商没有按照磋商文件要求提交全部资料，或者所提交的响应文件没有对磋商文件在各方面都做出实质性响应是响应供应商的风险，有可能导致其磋商响应被拒绝，或被认定为无效响应或被确定为响应无效。</w:t>
      </w:r>
    </w:p>
    <w:p>
      <w:pPr>
        <w:spacing w:before="120" w:beforeLines="50" w:after="120" w:afterLines="50" w:line="360" w:lineRule="auto"/>
        <w:outlineLvl w:val="1"/>
        <w:rPr>
          <w:b/>
          <w:sz w:val="21"/>
          <w:szCs w:val="21"/>
          <w:lang w:val="en-US"/>
        </w:rPr>
      </w:pPr>
      <w:bookmarkStart w:id="144" w:name="_bookmark15"/>
      <w:bookmarkEnd w:id="144"/>
      <w:bookmarkStart w:id="145" w:name="_Toc12504"/>
      <w:bookmarkStart w:id="146" w:name="_Toc29181"/>
      <w:bookmarkStart w:id="147" w:name="_Toc14391"/>
      <w:bookmarkStart w:id="148" w:name="_Toc21714"/>
      <w:r>
        <w:rPr>
          <w:rFonts w:hint="eastAsia"/>
          <w:b/>
          <w:sz w:val="21"/>
          <w:szCs w:val="21"/>
          <w:lang w:val="en-US"/>
        </w:rPr>
        <w:t>三、竞争性磋商响应文件的编制</w:t>
      </w:r>
      <w:bookmarkEnd w:id="145"/>
      <w:bookmarkEnd w:id="146"/>
      <w:bookmarkEnd w:id="147"/>
      <w:bookmarkEnd w:id="148"/>
    </w:p>
    <w:p>
      <w:pPr>
        <w:spacing w:before="60" w:beforeLines="25" w:after="60" w:afterLines="25" w:line="360" w:lineRule="auto"/>
        <w:rPr>
          <w:sz w:val="21"/>
          <w:szCs w:val="21"/>
        </w:rPr>
      </w:pPr>
      <w:r>
        <w:rPr>
          <w:sz w:val="21"/>
          <w:szCs w:val="21"/>
          <w:lang w:val="en-US"/>
        </w:rPr>
        <w:t xml:space="preserve">6. </w:t>
      </w:r>
      <w:r>
        <w:rPr>
          <w:rFonts w:hint="eastAsia"/>
          <w:sz w:val="21"/>
          <w:szCs w:val="21"/>
          <w:lang w:val="en-US"/>
        </w:rPr>
        <w:t>竞争性磋商响应文件编制基本要求</w:t>
      </w:r>
    </w:p>
    <w:p>
      <w:pPr>
        <w:spacing w:before="60" w:beforeLines="25" w:after="60" w:afterLines="25" w:line="360" w:lineRule="auto"/>
        <w:rPr>
          <w:sz w:val="21"/>
          <w:szCs w:val="21"/>
        </w:rPr>
      </w:pPr>
      <w:r>
        <w:rPr>
          <w:sz w:val="21"/>
          <w:szCs w:val="21"/>
          <w:lang w:val="en-US"/>
        </w:rPr>
        <w:t xml:space="preserve">6.1 </w:t>
      </w:r>
      <w:r>
        <w:rPr>
          <w:rFonts w:hint="eastAsia"/>
          <w:sz w:val="21"/>
          <w:szCs w:val="21"/>
          <w:lang w:val="en-US"/>
        </w:rPr>
        <w:t>响应供应商对竞争性磋商响应文件的编制应按要求装订和封装。</w:t>
      </w:r>
    </w:p>
    <w:p>
      <w:pPr>
        <w:spacing w:before="60" w:beforeLines="25" w:after="60" w:afterLines="25" w:line="360" w:lineRule="auto"/>
        <w:ind w:left="420" w:hanging="420" w:hangingChars="200"/>
        <w:rPr>
          <w:sz w:val="21"/>
          <w:szCs w:val="21"/>
        </w:rPr>
      </w:pPr>
      <w:r>
        <w:rPr>
          <w:sz w:val="21"/>
          <w:szCs w:val="21"/>
          <w:lang w:val="en-US"/>
        </w:rPr>
        <w:t xml:space="preserve">6.2 </w:t>
      </w:r>
      <w:r>
        <w:rPr>
          <w:rFonts w:hint="eastAsia"/>
          <w:sz w:val="21"/>
          <w:szCs w:val="21"/>
          <w:lang w:val="en-US"/>
        </w:rPr>
        <w:t>响应供应商提交的磋商响应文件及其与（采购单位）就有关磋商的所有来往函电均应使用中文。响应供应商提交的支持文件或印刷的资料可以用另一种语言，但相应内容应附有中文翻译本，在解释磋商响应文件的修改内容时以中文翻译本为准。对中文翻译有异议的，以权威机构的译本为准。</w:t>
      </w:r>
    </w:p>
    <w:p>
      <w:pPr>
        <w:spacing w:before="60" w:beforeLines="25" w:after="60" w:afterLines="25" w:line="360" w:lineRule="auto"/>
        <w:rPr>
          <w:sz w:val="21"/>
          <w:szCs w:val="21"/>
        </w:rPr>
      </w:pPr>
      <w:r>
        <w:rPr>
          <w:sz w:val="21"/>
          <w:szCs w:val="21"/>
          <w:lang w:val="en-US"/>
        </w:rPr>
        <w:t xml:space="preserve">6.3 </w:t>
      </w:r>
      <w:r>
        <w:rPr>
          <w:rFonts w:hint="eastAsia"/>
          <w:sz w:val="21"/>
          <w:szCs w:val="21"/>
          <w:lang w:val="en-US"/>
        </w:rPr>
        <w:t>竞争性磋商响应文件必须按本文件的全部内容，包括所有的补充通知及附件进行编制。</w:t>
      </w:r>
    </w:p>
    <w:p>
      <w:pPr>
        <w:spacing w:before="60" w:beforeLines="25" w:after="60" w:afterLines="25" w:line="360" w:lineRule="auto"/>
        <w:ind w:left="420" w:hanging="420" w:hangingChars="200"/>
        <w:rPr>
          <w:sz w:val="21"/>
          <w:szCs w:val="21"/>
        </w:rPr>
      </w:pPr>
      <w:r>
        <w:rPr>
          <w:sz w:val="21"/>
          <w:szCs w:val="21"/>
          <w:lang w:val="en-US"/>
        </w:rPr>
        <w:t xml:space="preserve">6.4 </w:t>
      </w:r>
      <w:r>
        <w:rPr>
          <w:rFonts w:hint="eastAsia"/>
          <w:sz w:val="21"/>
          <w:szCs w:val="21"/>
          <w:lang w:val="en-US"/>
        </w:rPr>
        <w:t>如因响应供应商只填写和提供了本文件要求的部分内容和附件，而给磋商造成困难的，其可能导致的结果和责任由响应供应商自行承担。</w:t>
      </w:r>
    </w:p>
    <w:p>
      <w:pPr>
        <w:spacing w:before="60" w:beforeLines="25" w:after="60" w:afterLines="25" w:line="360" w:lineRule="auto"/>
        <w:rPr>
          <w:sz w:val="21"/>
          <w:szCs w:val="21"/>
        </w:rPr>
      </w:pPr>
      <w:r>
        <w:rPr>
          <w:sz w:val="21"/>
          <w:szCs w:val="21"/>
          <w:lang w:val="en-US"/>
        </w:rPr>
        <w:t xml:space="preserve">7. </w:t>
      </w:r>
      <w:r>
        <w:rPr>
          <w:rFonts w:hint="eastAsia"/>
          <w:sz w:val="21"/>
          <w:szCs w:val="21"/>
          <w:lang w:val="en-US"/>
        </w:rPr>
        <w:t>计量单位</w:t>
      </w:r>
    </w:p>
    <w:p>
      <w:pPr>
        <w:spacing w:before="60" w:beforeLines="25" w:after="60" w:afterLines="25" w:line="360" w:lineRule="auto"/>
        <w:ind w:left="420" w:hanging="420" w:hangingChars="200"/>
        <w:rPr>
          <w:sz w:val="21"/>
          <w:szCs w:val="21"/>
        </w:rPr>
      </w:pPr>
      <w:r>
        <w:rPr>
          <w:sz w:val="21"/>
          <w:szCs w:val="21"/>
          <w:lang w:val="en-US"/>
        </w:rPr>
        <w:t xml:space="preserve">7.1 </w:t>
      </w:r>
      <w:r>
        <w:rPr>
          <w:rFonts w:hint="eastAsia"/>
          <w:sz w:val="21"/>
          <w:szCs w:val="21"/>
          <w:lang w:val="en-US"/>
        </w:rPr>
        <w:t>除技术要求中另有规定外，本文件所要求使用的计量单位均采用国家法定的度、量、衡标准单位计量。</w:t>
      </w:r>
    </w:p>
    <w:p>
      <w:pPr>
        <w:spacing w:before="120" w:beforeLines="50" w:after="120" w:afterLines="50" w:line="360" w:lineRule="auto"/>
        <w:outlineLvl w:val="1"/>
        <w:rPr>
          <w:b/>
          <w:sz w:val="21"/>
          <w:szCs w:val="21"/>
          <w:lang w:val="en-US"/>
        </w:rPr>
      </w:pPr>
      <w:bookmarkStart w:id="149" w:name="_bookmark16"/>
      <w:bookmarkEnd w:id="149"/>
      <w:bookmarkStart w:id="150" w:name="_Toc7165"/>
      <w:bookmarkStart w:id="151" w:name="_Toc29175"/>
      <w:bookmarkStart w:id="152" w:name="_Toc17130"/>
      <w:bookmarkStart w:id="153" w:name="_Toc11476"/>
      <w:r>
        <w:rPr>
          <w:rFonts w:hint="eastAsia"/>
          <w:b/>
          <w:sz w:val="21"/>
          <w:szCs w:val="21"/>
          <w:lang w:val="en-US"/>
        </w:rPr>
        <w:t>四、磋商报价要求</w:t>
      </w:r>
      <w:bookmarkEnd w:id="150"/>
      <w:bookmarkEnd w:id="151"/>
      <w:bookmarkEnd w:id="152"/>
      <w:bookmarkEnd w:id="153"/>
    </w:p>
    <w:p>
      <w:pPr>
        <w:spacing w:before="60" w:beforeLines="25" w:after="60" w:afterLines="25" w:line="360" w:lineRule="auto"/>
        <w:ind w:left="420" w:hanging="420" w:hangingChars="200"/>
        <w:rPr>
          <w:sz w:val="21"/>
          <w:szCs w:val="21"/>
          <w:lang w:val="en-US"/>
        </w:rPr>
      </w:pPr>
      <w:r>
        <w:rPr>
          <w:sz w:val="21"/>
          <w:szCs w:val="21"/>
          <w:lang w:val="en-US"/>
        </w:rPr>
        <w:t xml:space="preserve">8. </w:t>
      </w:r>
      <w:r>
        <w:rPr>
          <w:rFonts w:hint="eastAsia"/>
          <w:sz w:val="21"/>
          <w:szCs w:val="21"/>
          <w:lang w:val="en-US"/>
        </w:rPr>
        <w:t>本项目以预算金额人民币壹佰贰拾叁万壹仟肆佰捌拾壹元伍角玖分（¥1231481.59）作为基准价，本项目采用折率进行报价，且折率≤</w:t>
      </w:r>
      <w:r>
        <w:rPr>
          <w:sz w:val="21"/>
          <w:szCs w:val="21"/>
          <w:lang w:val="en-US"/>
        </w:rPr>
        <w:t>100.00%。供应商的报价折率必须小于或等于本工程的最高磋商限价折率，否则视为无效响应。磋商小组认为供应商的报价明显低于其他通过资格性符合性审查供应商的报价，有可能影响产品质量或者不能诚信履约的，磋商小组应当要求其在评审现场立即提供书面说明，并同时提交相关证明材料包括但不限于综合单价分析表、主要材料近三个月内的采购合同、人工费不低于佛山市最新的最低工资标准等资料，最终由磋商小组现场评定；供应商不能证明其报价合理性的，磋商小组应当将其作为无效响应处理。</w:t>
      </w:r>
    </w:p>
    <w:p>
      <w:pPr>
        <w:spacing w:before="60" w:beforeLines="25" w:after="60" w:afterLines="25" w:line="360" w:lineRule="auto"/>
        <w:ind w:left="420" w:hanging="420" w:hangingChars="200"/>
        <w:rPr>
          <w:sz w:val="21"/>
          <w:szCs w:val="21"/>
          <w:lang w:val="en-US"/>
        </w:rPr>
      </w:pPr>
      <w:r>
        <w:rPr>
          <w:rFonts w:hint="eastAsia"/>
          <w:sz w:val="21"/>
          <w:szCs w:val="21"/>
          <w:lang w:val="en-US"/>
        </w:rPr>
        <w:t>注：本项目报价已包括绿色施工安全防护措施费57506.78元。绿色施工安全防护措施费为本竞争性磋商文件固定金额，不列入磋商范围（不得下浮），并计入响应报价中，结算时以上费用不作任何调整。</w:t>
      </w:r>
    </w:p>
    <w:p>
      <w:pPr>
        <w:spacing w:before="60" w:beforeLines="25" w:after="60" w:afterLines="25" w:line="360" w:lineRule="auto"/>
        <w:ind w:left="420" w:hanging="420" w:hangingChars="200"/>
        <w:rPr>
          <w:sz w:val="21"/>
          <w:szCs w:val="21"/>
        </w:rPr>
      </w:pPr>
      <w:r>
        <w:rPr>
          <w:sz w:val="21"/>
          <w:szCs w:val="21"/>
          <w:lang w:val="en-US"/>
        </w:rPr>
        <w:t xml:space="preserve">9. </w:t>
      </w:r>
      <w:r>
        <w:rPr>
          <w:rFonts w:hint="eastAsia"/>
          <w:sz w:val="21"/>
          <w:szCs w:val="21"/>
          <w:lang w:val="en-US"/>
        </w:rPr>
        <w:t>本项目承包方式：综合单价包干，措施费包干。包工、包料、包质量、包安全、包环保、包调试、包验收等。成交供应商报价是全部费用，包括分部分项工程费、措施项目费、其他项目费、规费、利润和税金、材料设备的市场涨价风险等。</w:t>
      </w:r>
    </w:p>
    <w:p>
      <w:pPr>
        <w:spacing w:before="120" w:beforeLines="50" w:after="120" w:afterLines="50" w:line="360" w:lineRule="auto"/>
        <w:outlineLvl w:val="1"/>
        <w:rPr>
          <w:b/>
          <w:sz w:val="21"/>
          <w:szCs w:val="21"/>
          <w:lang w:val="en-US"/>
        </w:rPr>
      </w:pPr>
      <w:bookmarkStart w:id="154" w:name="_bookmark17"/>
      <w:bookmarkEnd w:id="154"/>
      <w:bookmarkStart w:id="155" w:name="_Toc1825"/>
      <w:bookmarkStart w:id="156" w:name="_Toc26278"/>
      <w:bookmarkStart w:id="157" w:name="_Toc15323"/>
      <w:bookmarkStart w:id="158" w:name="_Toc29291"/>
      <w:r>
        <w:rPr>
          <w:rFonts w:hint="eastAsia"/>
          <w:b/>
          <w:sz w:val="21"/>
          <w:szCs w:val="21"/>
          <w:lang w:val="en-US"/>
        </w:rPr>
        <w:t>五、磋商保证金</w:t>
      </w:r>
      <w:bookmarkEnd w:id="155"/>
      <w:bookmarkEnd w:id="156"/>
      <w:bookmarkEnd w:id="157"/>
      <w:r>
        <w:rPr>
          <w:rFonts w:hint="eastAsia"/>
          <w:b/>
          <w:sz w:val="21"/>
          <w:szCs w:val="21"/>
          <w:lang w:val="en-US"/>
        </w:rPr>
        <w:t>（本项目不适用）</w:t>
      </w:r>
      <w:bookmarkEnd w:id="158"/>
    </w:p>
    <w:p>
      <w:pPr>
        <w:spacing w:before="60" w:beforeLines="25" w:after="60" w:afterLines="25" w:line="360" w:lineRule="auto"/>
        <w:ind w:left="525" w:hanging="525" w:hangingChars="250"/>
        <w:rPr>
          <w:sz w:val="21"/>
          <w:szCs w:val="21"/>
        </w:rPr>
      </w:pPr>
      <w:r>
        <w:rPr>
          <w:sz w:val="21"/>
          <w:szCs w:val="21"/>
          <w:lang w:val="en-US"/>
        </w:rPr>
        <w:t xml:space="preserve">10.1 </w:t>
      </w:r>
      <w:r>
        <w:rPr>
          <w:rFonts w:hint="eastAsia"/>
          <w:sz w:val="21"/>
          <w:szCs w:val="21"/>
          <w:lang w:val="en-US"/>
        </w:rPr>
        <w:t>响应供应商应按磋商文件规定的金额和期限交纳磋商保证金，磋商保证金作为响应文件的组成部分。</w:t>
      </w:r>
    </w:p>
    <w:p>
      <w:pPr>
        <w:spacing w:before="60" w:beforeLines="25" w:after="60" w:afterLines="25" w:line="360" w:lineRule="auto"/>
        <w:ind w:left="525" w:hanging="525" w:hangingChars="250"/>
        <w:rPr>
          <w:b/>
          <w:sz w:val="21"/>
          <w:szCs w:val="21"/>
        </w:rPr>
      </w:pPr>
      <w:r>
        <w:rPr>
          <w:sz w:val="21"/>
          <w:szCs w:val="21"/>
          <w:lang w:val="en-US"/>
        </w:rPr>
        <w:t xml:space="preserve">10.2 </w:t>
      </w:r>
      <w:r>
        <w:rPr>
          <w:rFonts w:hint="eastAsia"/>
          <w:b/>
          <w:sz w:val="21"/>
          <w:szCs w:val="21"/>
          <w:lang w:val="en-US"/>
        </w:rPr>
        <w:t>磋商保证金为人民币零元整（</w:t>
      </w:r>
      <w:r>
        <w:rPr>
          <w:b/>
          <w:sz w:val="21"/>
          <w:szCs w:val="21"/>
          <w:lang w:val="en-US"/>
        </w:rPr>
        <w:t>RMB 0.00），</w:t>
      </w:r>
      <w:r>
        <w:rPr>
          <w:rFonts w:hint="eastAsia"/>
          <w:b/>
          <w:sz w:val="21"/>
          <w:szCs w:val="21"/>
        </w:rPr>
        <w:t>应以</w:t>
      </w:r>
      <w:r>
        <w:rPr>
          <w:rFonts w:hint="eastAsia"/>
          <w:b/>
          <w:sz w:val="21"/>
          <w:szCs w:val="21"/>
          <w:lang w:val="en-US"/>
        </w:rPr>
        <w:t>转账</w:t>
      </w:r>
      <w:r>
        <w:rPr>
          <w:rFonts w:hint="eastAsia"/>
          <w:b/>
          <w:sz w:val="21"/>
          <w:szCs w:val="21"/>
        </w:rPr>
        <w:t>形式</w:t>
      </w:r>
      <w:r>
        <w:rPr>
          <w:rFonts w:hint="eastAsia"/>
          <w:b/>
          <w:bCs/>
          <w:sz w:val="21"/>
          <w:szCs w:val="21"/>
          <w:lang w:val="en-US"/>
        </w:rPr>
        <w:t>提交</w:t>
      </w:r>
      <w:r>
        <w:rPr>
          <w:rFonts w:hint="eastAsia"/>
          <w:b/>
          <w:sz w:val="21"/>
          <w:szCs w:val="21"/>
        </w:rPr>
        <w:t>。【供应商应确保磋商保证金不迟于磋商时间提交</w:t>
      </w:r>
      <w:r>
        <w:rPr>
          <w:rFonts w:hint="eastAsia"/>
          <w:b/>
          <w:sz w:val="21"/>
          <w:szCs w:val="21"/>
          <w:lang w:val="en-US"/>
        </w:rPr>
        <w:t>，磋商保证金的到账时间以实际到达以下账户的时间为准，</w:t>
      </w:r>
      <w:r>
        <w:rPr>
          <w:rFonts w:hint="eastAsia"/>
          <w:b/>
          <w:sz w:val="21"/>
          <w:szCs w:val="21"/>
        </w:rPr>
        <w:t>否则将会导致</w:t>
      </w:r>
      <w:r>
        <w:rPr>
          <w:rFonts w:hint="eastAsia"/>
          <w:b/>
          <w:sz w:val="21"/>
          <w:szCs w:val="21"/>
          <w:lang w:val="en-US"/>
        </w:rPr>
        <w:t>响应无效</w:t>
      </w:r>
      <w:r>
        <w:rPr>
          <w:rFonts w:hint="eastAsia"/>
          <w:b/>
          <w:sz w:val="21"/>
          <w:szCs w:val="21"/>
        </w:rPr>
        <w:t>】</w:t>
      </w:r>
    </w:p>
    <w:p>
      <w:pPr>
        <w:pStyle w:val="12"/>
        <w:spacing w:before="60" w:beforeLines="25" w:after="60" w:afterLines="25" w:line="360" w:lineRule="auto"/>
      </w:pPr>
      <w:r>
        <w:rPr>
          <w:bCs/>
          <w:sz w:val="21"/>
          <w:szCs w:val="21"/>
          <w:lang w:val="en-US"/>
        </w:rPr>
        <w:t>10.2.1</w:t>
      </w:r>
      <w:r>
        <w:rPr>
          <w:rFonts w:hint="eastAsia"/>
          <w:b/>
          <w:sz w:val="21"/>
          <w:szCs w:val="21"/>
          <w:lang w:val="en-US"/>
        </w:rPr>
        <w:t>磋商保证金交纳形式以银行转账非现金形式提交：</w:t>
      </w:r>
    </w:p>
    <w:p>
      <w:pPr>
        <w:spacing w:before="60" w:beforeLines="25" w:after="60" w:afterLines="25" w:line="360" w:lineRule="auto"/>
        <w:ind w:firstLine="1260" w:firstLineChars="600"/>
        <w:rPr>
          <w:sz w:val="21"/>
          <w:szCs w:val="21"/>
          <w:lang w:val="en-US"/>
        </w:rPr>
      </w:pPr>
      <w:r>
        <w:rPr>
          <w:rFonts w:hint="eastAsia"/>
          <w:sz w:val="21"/>
          <w:szCs w:val="21"/>
          <w:lang w:val="en-US"/>
        </w:rPr>
        <w:t>收款单位名称：</w:t>
      </w:r>
      <w:r>
        <w:rPr>
          <w:sz w:val="21"/>
          <w:szCs w:val="21"/>
          <w:lang w:val="en-US"/>
        </w:rPr>
        <w:t xml:space="preserve"> </w:t>
      </w:r>
    </w:p>
    <w:p>
      <w:pPr>
        <w:spacing w:before="60" w:beforeLines="25" w:after="60" w:afterLines="25" w:line="360" w:lineRule="auto"/>
        <w:ind w:firstLine="1260" w:firstLineChars="600"/>
        <w:rPr>
          <w:sz w:val="21"/>
          <w:szCs w:val="21"/>
        </w:rPr>
      </w:pPr>
      <w:r>
        <w:rPr>
          <w:rFonts w:hint="eastAsia"/>
          <w:sz w:val="21"/>
          <w:szCs w:val="21"/>
          <w:lang w:val="en-US"/>
        </w:rPr>
        <w:t>开</w:t>
      </w:r>
      <w:r>
        <w:rPr>
          <w:sz w:val="21"/>
          <w:szCs w:val="21"/>
          <w:lang w:val="en-US"/>
        </w:rPr>
        <w:t xml:space="preserve"> 户 银 行： </w:t>
      </w:r>
    </w:p>
    <w:p>
      <w:pPr>
        <w:spacing w:before="60" w:beforeLines="25" w:after="60" w:afterLines="25" w:line="360" w:lineRule="auto"/>
        <w:ind w:firstLine="1260" w:firstLineChars="600"/>
        <w:rPr>
          <w:sz w:val="21"/>
          <w:szCs w:val="21"/>
        </w:rPr>
      </w:pPr>
      <w:r>
        <w:rPr>
          <w:rFonts w:hint="eastAsia"/>
          <w:sz w:val="21"/>
          <w:szCs w:val="21"/>
          <w:lang w:val="en-US"/>
        </w:rPr>
        <w:t>账</w:t>
      </w:r>
      <w:r>
        <w:rPr>
          <w:sz w:val="21"/>
          <w:szCs w:val="21"/>
          <w:lang w:val="en-US"/>
        </w:rPr>
        <w:tab/>
      </w:r>
      <w:r>
        <w:rPr>
          <w:rFonts w:hint="eastAsia"/>
          <w:sz w:val="21"/>
          <w:szCs w:val="21"/>
          <w:lang w:val="en-US"/>
        </w:rPr>
        <w:t>号：</w:t>
      </w:r>
      <w:r>
        <w:rPr>
          <w:sz w:val="21"/>
          <w:szCs w:val="21"/>
          <w:lang w:val="en-US"/>
        </w:rPr>
        <w:t xml:space="preserve"> </w:t>
      </w:r>
      <w:r>
        <w:rPr>
          <w:sz w:val="21"/>
          <w:szCs w:val="21"/>
          <w:lang w:val="en-US"/>
        </w:rPr>
        <w:tab/>
      </w:r>
      <w:r>
        <w:rPr>
          <w:sz w:val="21"/>
          <w:szCs w:val="21"/>
          <w:lang w:val="en-US"/>
        </w:rPr>
        <w:t xml:space="preserve">     </w:t>
      </w:r>
    </w:p>
    <w:p>
      <w:pPr>
        <w:spacing w:before="60" w:beforeLines="25" w:after="60" w:afterLines="25" w:line="360" w:lineRule="auto"/>
        <w:ind w:firstLine="1260" w:firstLineChars="600"/>
        <w:rPr>
          <w:sz w:val="21"/>
          <w:szCs w:val="21"/>
          <w:lang w:val="en-US"/>
        </w:rPr>
      </w:pPr>
      <w:r>
        <w:rPr>
          <w:rFonts w:hint="eastAsia"/>
          <w:sz w:val="21"/>
          <w:szCs w:val="21"/>
          <w:lang w:val="en-US"/>
        </w:rPr>
        <w:t>事</w:t>
      </w:r>
      <w:r>
        <w:rPr>
          <w:sz w:val="21"/>
          <w:szCs w:val="21"/>
          <w:lang w:val="en-US"/>
        </w:rPr>
        <w:t xml:space="preserve">  由（只需填写数字）：   </w:t>
      </w:r>
    </w:p>
    <w:p>
      <w:pPr>
        <w:pStyle w:val="2"/>
        <w:spacing w:line="360" w:lineRule="auto"/>
        <w:rPr>
          <w:sz w:val="21"/>
          <w:szCs w:val="21"/>
          <w:lang w:val="en-US"/>
        </w:rPr>
      </w:pPr>
      <w:r>
        <w:rPr>
          <w:rFonts w:hint="eastAsia"/>
          <w:sz w:val="21"/>
          <w:szCs w:val="21"/>
          <w:lang w:val="en-US"/>
        </w:rPr>
        <w:t>（注意事项：“事由”只填写数字，不需要填写任何文字，若响应供应商未按要求填写，由此产生的后果由响应供应商承担）</w:t>
      </w:r>
    </w:p>
    <w:p>
      <w:pPr>
        <w:spacing w:before="60" w:beforeLines="25" w:after="60" w:afterLines="25" w:line="360" w:lineRule="auto"/>
        <w:ind w:left="629" w:leftChars="286" w:firstLine="105" w:firstLineChars="50"/>
        <w:rPr>
          <w:b/>
          <w:sz w:val="21"/>
          <w:szCs w:val="21"/>
          <w:lang w:val="en-US"/>
        </w:rPr>
      </w:pPr>
      <w:r>
        <w:rPr>
          <w:rFonts w:hint="eastAsia"/>
          <w:b/>
          <w:sz w:val="21"/>
          <w:szCs w:val="21"/>
          <w:lang w:val="en-US"/>
        </w:rPr>
        <w:t>本项目磋商保证金由</w:t>
      </w:r>
      <w:r>
        <w:rPr>
          <w:b/>
          <w:sz w:val="21"/>
          <w:szCs w:val="21"/>
          <w:u w:val="single"/>
          <w:lang w:val="en-US"/>
        </w:rPr>
        <w:t xml:space="preserve">               </w:t>
      </w:r>
      <w:r>
        <w:rPr>
          <w:b/>
          <w:sz w:val="21"/>
          <w:szCs w:val="21"/>
          <w:lang w:val="en-US"/>
        </w:rPr>
        <w:t xml:space="preserve"> 收取及退回。</w:t>
      </w:r>
    </w:p>
    <w:p>
      <w:pPr>
        <w:spacing w:before="60" w:beforeLines="25" w:after="60" w:afterLines="25" w:line="360" w:lineRule="auto"/>
        <w:ind w:left="527" w:hanging="527" w:hangingChars="250"/>
        <w:rPr>
          <w:sz w:val="21"/>
          <w:szCs w:val="21"/>
        </w:rPr>
      </w:pPr>
      <w:r>
        <w:rPr>
          <w:b/>
          <w:sz w:val="21"/>
          <w:szCs w:val="21"/>
          <w:lang w:val="en-US"/>
        </w:rPr>
        <w:t xml:space="preserve">10.3 </w:t>
      </w:r>
      <w:r>
        <w:rPr>
          <w:rFonts w:hint="eastAsia"/>
          <w:b/>
          <w:sz w:val="21"/>
          <w:szCs w:val="21"/>
          <w:lang w:val="en-US"/>
        </w:rPr>
        <w:t>磋商保证金应以响应供应商的名义转账。</w:t>
      </w:r>
    </w:p>
    <w:p>
      <w:pPr>
        <w:spacing w:before="60" w:beforeLines="25" w:after="60" w:afterLines="25" w:line="360" w:lineRule="auto"/>
        <w:ind w:left="525" w:hanging="525" w:hangingChars="250"/>
        <w:rPr>
          <w:sz w:val="21"/>
          <w:szCs w:val="21"/>
        </w:rPr>
      </w:pPr>
      <w:r>
        <w:rPr>
          <w:sz w:val="21"/>
          <w:szCs w:val="21"/>
          <w:lang w:val="en-US"/>
        </w:rPr>
        <w:t xml:space="preserve">10.4 </w:t>
      </w:r>
      <w:r>
        <w:rPr>
          <w:rFonts w:hint="eastAsia"/>
          <w:b/>
          <w:sz w:val="21"/>
          <w:szCs w:val="21"/>
          <w:u w:val="single"/>
          <w:lang w:val="en-US"/>
        </w:rPr>
        <w:t>在递交响应文件时请将银行进账单复印件（如有）（加盖公章，并附上磋商保证金退还说明，格式详见“响应文件格式”中的格式</w:t>
      </w:r>
      <w:r>
        <w:rPr>
          <w:b/>
          <w:sz w:val="21"/>
          <w:szCs w:val="21"/>
          <w:u w:val="single"/>
          <w:lang w:val="en-US"/>
        </w:rPr>
        <w:t xml:space="preserve"> 2.3）封入“报价信封”内一并交给采购代理机构。</w:t>
      </w:r>
    </w:p>
    <w:p>
      <w:pPr>
        <w:spacing w:before="60" w:beforeLines="25" w:after="60" w:afterLines="25" w:line="360" w:lineRule="auto"/>
        <w:ind w:left="525" w:hanging="525" w:hangingChars="250"/>
        <w:rPr>
          <w:sz w:val="21"/>
          <w:szCs w:val="21"/>
        </w:rPr>
      </w:pPr>
      <w:r>
        <w:rPr>
          <w:sz w:val="21"/>
          <w:szCs w:val="21"/>
          <w:lang w:val="en-US"/>
        </w:rPr>
        <w:t xml:space="preserve">10.5 </w:t>
      </w:r>
      <w:r>
        <w:rPr>
          <w:rFonts w:hint="eastAsia"/>
          <w:sz w:val="21"/>
          <w:szCs w:val="21"/>
          <w:lang w:val="en-US"/>
        </w:rPr>
        <w:t>凡未按规定交纳磋商保证金的，其磋商响应文件为无效响应。</w:t>
      </w:r>
    </w:p>
    <w:p>
      <w:pPr>
        <w:spacing w:before="60" w:beforeLines="25" w:after="60" w:afterLines="25" w:line="360" w:lineRule="auto"/>
        <w:ind w:left="525" w:hanging="525" w:hangingChars="250"/>
        <w:rPr>
          <w:sz w:val="21"/>
          <w:szCs w:val="21"/>
        </w:rPr>
      </w:pPr>
      <w:r>
        <w:rPr>
          <w:sz w:val="21"/>
          <w:szCs w:val="21"/>
          <w:lang w:val="en-US"/>
        </w:rPr>
        <w:t xml:space="preserve">10.6 </w:t>
      </w:r>
      <w:r>
        <w:rPr>
          <w:rFonts w:hint="eastAsia"/>
          <w:sz w:val="21"/>
          <w:szCs w:val="21"/>
          <w:lang w:val="en-US"/>
        </w:rPr>
        <w:t>如无质疑或投诉，未被确定为成交供应商的响应供应商保证金，在成交通知书发出后</w:t>
      </w:r>
      <w:r>
        <w:rPr>
          <w:sz w:val="21"/>
          <w:szCs w:val="21"/>
          <w:lang w:val="en-US"/>
        </w:rPr>
        <w:t>5个工作日内不计利息原额退还；如有质疑或投诉，采购代理机构将在质疑和投诉处理完毕后不计利息原额退还。</w:t>
      </w:r>
    </w:p>
    <w:p>
      <w:pPr>
        <w:spacing w:before="60" w:beforeLines="25" w:after="60" w:afterLines="25" w:line="360" w:lineRule="auto"/>
        <w:ind w:left="525" w:hanging="525" w:hangingChars="250"/>
        <w:rPr>
          <w:sz w:val="21"/>
          <w:szCs w:val="21"/>
        </w:rPr>
      </w:pPr>
      <w:r>
        <w:rPr>
          <w:sz w:val="21"/>
          <w:szCs w:val="21"/>
          <w:lang w:val="en-US"/>
        </w:rPr>
        <w:t xml:space="preserve">10.7 </w:t>
      </w:r>
      <w:r>
        <w:rPr>
          <w:rFonts w:hint="eastAsia"/>
          <w:sz w:val="21"/>
          <w:szCs w:val="21"/>
          <w:lang w:val="en-US"/>
        </w:rPr>
        <w:t>成交供应商的磋商保证金</w:t>
      </w:r>
      <w:r>
        <w:rPr>
          <w:sz w:val="21"/>
          <w:szCs w:val="21"/>
          <w:lang w:val="en-US"/>
        </w:rPr>
        <w:t>,在成交供应商与采购人签订采购合同后5个工作日内不计利息原额退还。</w:t>
      </w:r>
    </w:p>
    <w:p>
      <w:pPr>
        <w:spacing w:before="60" w:beforeLines="25" w:after="60" w:afterLines="25" w:line="360" w:lineRule="auto"/>
        <w:ind w:left="525" w:hanging="525" w:hangingChars="250"/>
        <w:rPr>
          <w:sz w:val="21"/>
          <w:szCs w:val="21"/>
        </w:rPr>
      </w:pPr>
      <w:r>
        <w:rPr>
          <w:sz w:val="21"/>
          <w:szCs w:val="21"/>
          <w:lang w:val="en-US"/>
        </w:rPr>
        <w:t xml:space="preserve">10.8 </w:t>
      </w:r>
      <w:r>
        <w:rPr>
          <w:rFonts w:hint="eastAsia"/>
          <w:sz w:val="21"/>
          <w:szCs w:val="21"/>
          <w:lang w:val="en-US"/>
        </w:rPr>
        <w:t>有下列情形之一的，磋商保证金不予退还：</w:t>
      </w:r>
    </w:p>
    <w:p>
      <w:pPr>
        <w:spacing w:before="25" w:after="25" w:line="360" w:lineRule="auto"/>
        <w:ind w:firstLine="525" w:firstLineChars="250"/>
        <w:rPr>
          <w:sz w:val="21"/>
          <w:szCs w:val="21"/>
        </w:rPr>
      </w:pPr>
      <w:r>
        <w:rPr>
          <w:rFonts w:hint="eastAsia"/>
          <w:sz w:val="21"/>
          <w:szCs w:val="21"/>
          <w:lang w:val="en-US"/>
        </w:rPr>
        <w:t>（一）响应供应商在提交响应文件截止时间后撤回响应文件的；</w:t>
      </w:r>
    </w:p>
    <w:p>
      <w:pPr>
        <w:spacing w:before="25" w:after="25" w:line="360" w:lineRule="auto"/>
        <w:ind w:firstLine="525" w:firstLineChars="250"/>
        <w:rPr>
          <w:sz w:val="21"/>
          <w:szCs w:val="21"/>
        </w:rPr>
      </w:pPr>
      <w:r>
        <w:rPr>
          <w:rFonts w:hint="eastAsia"/>
          <w:sz w:val="21"/>
          <w:szCs w:val="21"/>
          <w:lang w:val="en-US"/>
        </w:rPr>
        <w:t>（二）响应供应商在响应文件中提供虚假材料的；</w:t>
      </w:r>
    </w:p>
    <w:p>
      <w:pPr>
        <w:spacing w:before="25" w:after="25" w:line="360" w:lineRule="auto"/>
        <w:ind w:firstLine="525" w:firstLineChars="250"/>
        <w:rPr>
          <w:sz w:val="21"/>
          <w:szCs w:val="21"/>
        </w:rPr>
      </w:pPr>
      <w:r>
        <w:rPr>
          <w:rFonts w:hint="eastAsia"/>
          <w:sz w:val="21"/>
          <w:szCs w:val="21"/>
          <w:lang w:val="en-US"/>
        </w:rPr>
        <w:t>（三）除因不可抗力或响应文件认可的情形以外，成交供应商不与采购人签订合同的；</w:t>
      </w:r>
    </w:p>
    <w:p>
      <w:pPr>
        <w:spacing w:before="25" w:after="25" w:line="360" w:lineRule="auto"/>
        <w:ind w:firstLine="525" w:firstLineChars="250"/>
        <w:rPr>
          <w:sz w:val="21"/>
          <w:szCs w:val="21"/>
        </w:rPr>
      </w:pPr>
      <w:r>
        <w:rPr>
          <w:rFonts w:hint="eastAsia"/>
          <w:sz w:val="21"/>
          <w:szCs w:val="21"/>
          <w:lang w:val="en-US"/>
        </w:rPr>
        <w:t>（四）响应供应商与采购人、其他供应商或者采购代理机构恶意串通的；</w:t>
      </w:r>
    </w:p>
    <w:p>
      <w:pPr>
        <w:spacing w:before="25" w:after="25" w:line="360" w:lineRule="auto"/>
        <w:ind w:firstLine="525" w:firstLineChars="250"/>
        <w:rPr>
          <w:sz w:val="21"/>
          <w:szCs w:val="21"/>
        </w:rPr>
      </w:pPr>
      <w:r>
        <w:rPr>
          <w:rFonts w:hint="eastAsia"/>
          <w:sz w:val="21"/>
          <w:szCs w:val="21"/>
          <w:lang w:val="en-US"/>
        </w:rPr>
        <w:t>（五）磋商文件规定的其他情形。</w:t>
      </w:r>
    </w:p>
    <w:p>
      <w:pPr>
        <w:spacing w:before="120" w:beforeLines="50" w:after="120" w:afterLines="50" w:line="360" w:lineRule="auto"/>
        <w:outlineLvl w:val="1"/>
        <w:rPr>
          <w:b/>
          <w:sz w:val="21"/>
          <w:szCs w:val="21"/>
          <w:lang w:val="en-US"/>
        </w:rPr>
      </w:pPr>
      <w:bookmarkStart w:id="159" w:name="_bookmark18"/>
      <w:bookmarkEnd w:id="159"/>
      <w:bookmarkStart w:id="160" w:name="_Toc9055"/>
      <w:bookmarkStart w:id="161" w:name="_Toc12308"/>
      <w:bookmarkStart w:id="162" w:name="_Toc23372"/>
      <w:bookmarkStart w:id="163" w:name="_Toc24510"/>
      <w:r>
        <w:rPr>
          <w:rFonts w:hint="eastAsia"/>
          <w:b/>
          <w:sz w:val="21"/>
          <w:szCs w:val="21"/>
          <w:lang w:val="en-US"/>
        </w:rPr>
        <w:t>六、竞争性磋商响应文件的份数、封装和递交</w:t>
      </w:r>
      <w:bookmarkEnd w:id="160"/>
      <w:bookmarkEnd w:id="161"/>
      <w:bookmarkEnd w:id="162"/>
      <w:bookmarkEnd w:id="163"/>
    </w:p>
    <w:p>
      <w:pPr>
        <w:spacing w:before="60" w:beforeLines="25" w:after="60" w:afterLines="25" w:line="360" w:lineRule="auto"/>
        <w:ind w:left="420" w:hanging="420" w:hangingChars="200"/>
        <w:rPr>
          <w:b/>
          <w:bCs/>
          <w:sz w:val="21"/>
          <w:szCs w:val="21"/>
          <w:lang w:val="en-US"/>
        </w:rPr>
      </w:pPr>
      <w:r>
        <w:rPr>
          <w:sz w:val="21"/>
          <w:szCs w:val="21"/>
          <w:lang w:val="en-US"/>
        </w:rPr>
        <w:t xml:space="preserve">11. </w:t>
      </w:r>
      <w:r>
        <w:rPr>
          <w:rFonts w:hint="eastAsia"/>
          <w:sz w:val="21"/>
          <w:szCs w:val="21"/>
          <w:lang w:val="en-US"/>
        </w:rPr>
        <w:t>响应供应商应编制响应文件</w:t>
      </w:r>
      <w:r>
        <w:rPr>
          <w:rFonts w:hint="eastAsia"/>
          <w:b/>
          <w:bCs/>
          <w:sz w:val="21"/>
          <w:szCs w:val="21"/>
          <w:lang w:val="en-US"/>
        </w:rPr>
        <w:t>一式</w:t>
      </w:r>
      <w:r>
        <w:rPr>
          <w:b/>
          <w:bCs/>
          <w:sz w:val="21"/>
          <w:szCs w:val="21"/>
          <w:u w:val="single"/>
          <w:lang w:val="en-US"/>
        </w:rPr>
        <w:t>4</w:t>
      </w:r>
      <w:r>
        <w:rPr>
          <w:rFonts w:hint="eastAsia"/>
          <w:b/>
          <w:bCs/>
          <w:sz w:val="21"/>
          <w:szCs w:val="21"/>
          <w:lang w:val="en-US"/>
        </w:rPr>
        <w:t>份</w:t>
      </w:r>
      <w:r>
        <w:rPr>
          <w:rFonts w:hint="eastAsia"/>
          <w:sz w:val="21"/>
          <w:szCs w:val="21"/>
          <w:lang w:val="en-US"/>
        </w:rPr>
        <w:t>，所有响应文件应用</w:t>
      </w:r>
      <w:r>
        <w:rPr>
          <w:sz w:val="21"/>
          <w:szCs w:val="21"/>
          <w:u w:val="single"/>
          <w:lang w:val="en-US"/>
        </w:rPr>
        <w:t>A4</w:t>
      </w:r>
      <w:r>
        <w:rPr>
          <w:rFonts w:hint="eastAsia"/>
          <w:sz w:val="21"/>
          <w:szCs w:val="21"/>
          <w:lang w:val="en-US"/>
        </w:rPr>
        <w:t>规格纸打印，并装订完好。其中正本</w:t>
      </w:r>
      <w:r>
        <w:rPr>
          <w:b/>
          <w:bCs/>
          <w:sz w:val="21"/>
          <w:szCs w:val="21"/>
          <w:u w:val="single"/>
          <w:lang w:val="en-US"/>
        </w:rPr>
        <w:t>1</w:t>
      </w:r>
      <w:r>
        <w:rPr>
          <w:rFonts w:hint="eastAsia"/>
          <w:b/>
          <w:bCs/>
          <w:sz w:val="21"/>
          <w:szCs w:val="21"/>
          <w:lang w:val="en-US"/>
        </w:rPr>
        <w:t>份</w:t>
      </w:r>
      <w:r>
        <w:rPr>
          <w:rFonts w:hint="eastAsia"/>
          <w:sz w:val="21"/>
          <w:szCs w:val="21"/>
          <w:lang w:val="en-US"/>
        </w:rPr>
        <w:t>，副本</w:t>
      </w:r>
      <w:r>
        <w:rPr>
          <w:b/>
          <w:bCs/>
          <w:sz w:val="21"/>
          <w:szCs w:val="21"/>
          <w:u w:val="single"/>
          <w:lang w:val="en-US"/>
        </w:rPr>
        <w:t>3</w:t>
      </w:r>
      <w:r>
        <w:rPr>
          <w:rFonts w:hint="eastAsia"/>
          <w:b/>
          <w:bCs/>
          <w:sz w:val="21"/>
          <w:szCs w:val="21"/>
          <w:lang w:val="en-US"/>
        </w:rPr>
        <w:t>份</w:t>
      </w:r>
      <w:r>
        <w:rPr>
          <w:rFonts w:hint="eastAsia"/>
          <w:sz w:val="21"/>
          <w:szCs w:val="21"/>
          <w:lang w:val="en-US"/>
        </w:rPr>
        <w:t>，</w:t>
      </w:r>
      <w:r>
        <w:rPr>
          <w:sz w:val="21"/>
          <w:szCs w:val="21"/>
          <w:lang w:val="en-US"/>
        </w:rPr>
        <w:t>U盘或光盘介质电子文件</w:t>
      </w:r>
      <w:r>
        <w:rPr>
          <w:b/>
          <w:bCs/>
          <w:sz w:val="21"/>
          <w:szCs w:val="21"/>
          <w:u w:val="single"/>
          <w:lang w:val="en-US"/>
        </w:rPr>
        <w:t>2</w:t>
      </w:r>
      <w:r>
        <w:rPr>
          <w:rFonts w:hint="eastAsia"/>
          <w:b/>
          <w:bCs/>
          <w:sz w:val="21"/>
          <w:szCs w:val="21"/>
          <w:lang w:val="en-US"/>
        </w:rPr>
        <w:t>份。</w:t>
      </w:r>
    </w:p>
    <w:p>
      <w:pPr>
        <w:spacing w:before="60" w:beforeLines="25" w:after="60" w:afterLines="25" w:line="360" w:lineRule="auto"/>
        <w:ind w:left="430" w:leftChars="100" w:hanging="210" w:hangingChars="100"/>
        <w:rPr>
          <w:sz w:val="21"/>
          <w:szCs w:val="21"/>
          <w:lang w:val="en-US"/>
        </w:rPr>
      </w:pPr>
      <w:r>
        <w:rPr>
          <w:sz w:val="21"/>
          <w:szCs w:val="21"/>
          <w:lang w:val="en-US"/>
        </w:rPr>
        <w:t>1）响应文件正本应由响应供应商的法定代表人或其合法授权代表人正式签署和加盖响应供应商的公章，任何更改（如果有的话）应由原签署人签字并加盖响应供应商的公章。</w:t>
      </w:r>
    </w:p>
    <w:p>
      <w:pPr>
        <w:spacing w:before="60" w:beforeLines="25" w:after="60" w:afterLines="25" w:line="360" w:lineRule="auto"/>
        <w:ind w:left="430" w:leftChars="100" w:hanging="210" w:hangingChars="100"/>
        <w:rPr>
          <w:sz w:val="21"/>
          <w:szCs w:val="21"/>
          <w:lang w:val="en-US"/>
        </w:rPr>
      </w:pPr>
      <w:r>
        <w:rPr>
          <w:sz w:val="21"/>
          <w:szCs w:val="21"/>
          <w:lang w:val="en-US"/>
        </w:rPr>
        <w:t xml:space="preserve">2）副本可采用响应文件的正本复印而成，A4 </w:t>
      </w:r>
      <w:r>
        <w:rPr>
          <w:rFonts w:hint="eastAsia"/>
          <w:sz w:val="21"/>
          <w:szCs w:val="21"/>
          <w:lang w:val="en-US"/>
        </w:rPr>
        <w:t>纸装订成册。并在封面注明“正本”和“副本”字样。如果正本与副本不符，应以正本为准。</w:t>
      </w:r>
    </w:p>
    <w:p>
      <w:pPr>
        <w:spacing w:before="60" w:beforeLines="25" w:after="60" w:afterLines="25" w:line="360" w:lineRule="auto"/>
        <w:ind w:left="430" w:leftChars="100" w:hanging="210" w:hangingChars="100"/>
        <w:rPr>
          <w:sz w:val="21"/>
          <w:szCs w:val="21"/>
          <w:lang w:val="en-US"/>
        </w:rPr>
      </w:pPr>
      <w:r>
        <w:rPr>
          <w:sz w:val="21"/>
          <w:szCs w:val="21"/>
          <w:lang w:val="en-US"/>
        </w:rPr>
        <w:t xml:space="preserve">3）U盘或光盘介质电子文件的要求为PDF、WORD </w:t>
      </w:r>
      <w:r>
        <w:rPr>
          <w:rFonts w:hint="eastAsia"/>
          <w:sz w:val="21"/>
          <w:szCs w:val="21"/>
          <w:lang w:val="en-US"/>
        </w:rPr>
        <w:t>或</w:t>
      </w:r>
      <w:r>
        <w:rPr>
          <w:sz w:val="21"/>
          <w:szCs w:val="21"/>
          <w:lang w:val="en-US"/>
        </w:rPr>
        <w:t xml:space="preserve"> EXCEL </w:t>
      </w:r>
      <w:r>
        <w:rPr>
          <w:rFonts w:hint="eastAsia"/>
          <w:sz w:val="21"/>
          <w:szCs w:val="21"/>
          <w:lang w:val="en-US"/>
        </w:rPr>
        <w:t>格式，不留密码，无病毒，不压缩，内容应与响应供应商打印产生的纸质响应文件内容一致，如有不同，以纸质响应文件为准。</w:t>
      </w:r>
    </w:p>
    <w:p>
      <w:pPr>
        <w:spacing w:before="60" w:beforeLines="25" w:after="60" w:afterLines="25" w:line="360" w:lineRule="auto"/>
        <w:ind w:left="330" w:leftChars="150" w:firstLine="422" w:firstLineChars="200"/>
        <w:rPr>
          <w:b/>
          <w:sz w:val="21"/>
          <w:szCs w:val="21"/>
          <w:u w:val="single"/>
        </w:rPr>
      </w:pPr>
      <w:r>
        <w:rPr>
          <w:rFonts w:hint="eastAsia"/>
          <w:b/>
          <w:sz w:val="21"/>
          <w:szCs w:val="21"/>
          <w:u w:val="single"/>
          <w:lang w:val="en-US"/>
        </w:rPr>
        <w:t>响应供应商提交响应文件时应备有一个“报价信封”，将开标</w:t>
      </w:r>
      <w:r>
        <w:rPr>
          <w:b/>
          <w:sz w:val="21"/>
          <w:szCs w:val="21"/>
          <w:u w:val="single"/>
          <w:lang w:val="en-US"/>
        </w:rPr>
        <w:t xml:space="preserve">/报价一览表（签字盖章）、法定代表人证明书（加盖公章）、法人授权书（加盖公章）等各 1 </w:t>
      </w:r>
      <w:r>
        <w:rPr>
          <w:rFonts w:hint="eastAsia"/>
          <w:b/>
          <w:sz w:val="21"/>
          <w:szCs w:val="21"/>
          <w:u w:val="single"/>
          <w:lang w:val="en-US"/>
        </w:rPr>
        <w:t>份密封入该信封。</w:t>
      </w:r>
    </w:p>
    <w:p>
      <w:pPr>
        <w:spacing w:before="60" w:beforeLines="25" w:after="60" w:afterLines="25" w:line="360" w:lineRule="auto"/>
        <w:rPr>
          <w:sz w:val="21"/>
          <w:szCs w:val="21"/>
        </w:rPr>
      </w:pPr>
      <w:r>
        <w:rPr>
          <w:sz w:val="21"/>
          <w:szCs w:val="21"/>
          <w:lang w:val="en-US"/>
        </w:rPr>
        <w:t xml:space="preserve">11.1 竞争性磋商响应文件的封装袋正面应当标明： </w:t>
      </w:r>
    </w:p>
    <w:p>
      <w:pPr>
        <w:spacing w:before="60" w:beforeLines="25" w:after="60" w:afterLines="25" w:line="360" w:lineRule="auto"/>
        <w:ind w:firstLine="420" w:firstLineChars="200"/>
        <w:rPr>
          <w:sz w:val="21"/>
          <w:szCs w:val="21"/>
        </w:rPr>
      </w:pPr>
      <w:r>
        <w:rPr>
          <w:sz w:val="21"/>
          <w:szCs w:val="21"/>
          <w:lang w:val="en-US"/>
        </w:rPr>
        <w:t>1）竞争性磋商项目编号；</w:t>
      </w:r>
    </w:p>
    <w:p>
      <w:pPr>
        <w:spacing w:before="60" w:beforeLines="25" w:after="60" w:afterLines="25" w:line="360" w:lineRule="auto"/>
        <w:ind w:firstLine="420" w:firstLineChars="200"/>
        <w:rPr>
          <w:sz w:val="21"/>
          <w:szCs w:val="21"/>
        </w:rPr>
      </w:pPr>
      <w:r>
        <w:rPr>
          <w:sz w:val="21"/>
          <w:szCs w:val="21"/>
          <w:lang w:val="en-US"/>
        </w:rPr>
        <w:t>2）竞争性磋商项目名称；</w:t>
      </w:r>
    </w:p>
    <w:p>
      <w:pPr>
        <w:spacing w:before="60" w:beforeLines="25" w:after="60" w:afterLines="25" w:line="360" w:lineRule="auto"/>
        <w:ind w:firstLine="420" w:firstLineChars="200"/>
        <w:rPr>
          <w:sz w:val="21"/>
          <w:szCs w:val="21"/>
        </w:rPr>
      </w:pPr>
      <w:r>
        <w:rPr>
          <w:sz w:val="21"/>
          <w:szCs w:val="21"/>
          <w:lang w:val="en-US"/>
        </w:rPr>
        <w:t>3）响应供应商名全称；</w:t>
      </w:r>
    </w:p>
    <w:p>
      <w:pPr>
        <w:spacing w:before="60" w:beforeLines="25" w:after="60" w:afterLines="25" w:line="360" w:lineRule="auto"/>
        <w:ind w:firstLine="420" w:firstLineChars="200"/>
        <w:rPr>
          <w:sz w:val="21"/>
          <w:szCs w:val="21"/>
        </w:rPr>
      </w:pPr>
      <w:r>
        <w:rPr>
          <w:sz w:val="21"/>
          <w:szCs w:val="21"/>
          <w:lang w:val="en-US"/>
        </w:rPr>
        <w:t>4）日期。</w:t>
      </w:r>
    </w:p>
    <w:p>
      <w:pPr>
        <w:spacing w:before="60" w:beforeLines="25" w:after="60" w:afterLines="25" w:line="360" w:lineRule="auto"/>
        <w:rPr>
          <w:sz w:val="21"/>
          <w:szCs w:val="21"/>
        </w:rPr>
      </w:pPr>
      <w:r>
        <w:rPr>
          <w:sz w:val="21"/>
          <w:szCs w:val="21"/>
          <w:lang w:val="en-US"/>
        </w:rPr>
        <w:t xml:space="preserve">12. </w:t>
      </w:r>
      <w:r>
        <w:rPr>
          <w:rFonts w:hint="eastAsia"/>
          <w:sz w:val="21"/>
          <w:szCs w:val="21"/>
          <w:lang w:val="en-US"/>
        </w:rPr>
        <w:t>竞争性磋商响应文件的递交</w:t>
      </w:r>
    </w:p>
    <w:p>
      <w:pPr>
        <w:spacing w:before="60" w:beforeLines="25" w:after="60" w:afterLines="25" w:line="360" w:lineRule="auto"/>
        <w:ind w:left="525" w:hanging="525" w:hangingChars="250"/>
        <w:rPr>
          <w:sz w:val="21"/>
          <w:szCs w:val="21"/>
        </w:rPr>
      </w:pPr>
      <w:r>
        <w:rPr>
          <w:sz w:val="21"/>
          <w:szCs w:val="21"/>
          <w:lang w:val="en-US"/>
        </w:rPr>
        <w:t xml:space="preserve">12.1 </w:t>
      </w:r>
      <w:r>
        <w:rPr>
          <w:rFonts w:hint="eastAsia"/>
          <w:b/>
          <w:bCs/>
          <w:sz w:val="21"/>
          <w:szCs w:val="21"/>
          <w:lang w:val="en-US"/>
        </w:rPr>
        <w:t>响应供应商应将报价信封、响应文件正本、</w:t>
      </w:r>
      <w:r>
        <w:rPr>
          <w:b/>
          <w:bCs/>
          <w:sz w:val="21"/>
          <w:szCs w:val="21"/>
          <w:lang w:val="en-US"/>
        </w:rPr>
        <w:t>U盘或光盘介质文件、和所有的副本分别单独密封包装</w:t>
      </w:r>
      <w:r>
        <w:rPr>
          <w:rFonts w:hint="eastAsia"/>
          <w:sz w:val="21"/>
          <w:szCs w:val="21"/>
          <w:lang w:val="en-US"/>
        </w:rPr>
        <w:t>，</w:t>
      </w:r>
      <w:r>
        <w:rPr>
          <w:rFonts w:hint="eastAsia"/>
          <w:b/>
          <w:bCs/>
          <w:sz w:val="21"/>
          <w:szCs w:val="21"/>
          <w:lang w:val="en-US"/>
        </w:rPr>
        <w:t>共</w:t>
      </w:r>
      <w:r>
        <w:rPr>
          <w:b/>
          <w:bCs/>
          <w:sz w:val="21"/>
          <w:szCs w:val="21"/>
          <w:lang w:val="en-US"/>
        </w:rPr>
        <w:t>4包</w:t>
      </w:r>
      <w:r>
        <w:rPr>
          <w:rFonts w:hint="eastAsia"/>
          <w:sz w:val="21"/>
          <w:szCs w:val="21"/>
          <w:lang w:val="en-US"/>
        </w:rPr>
        <w:t>，同时在外包装上清晰标明“报价信封”、“正本”、“电子文档”、“副本”字样，并应于第一部分《磋商邀请函》中规定的截止时点前递交到指定地点，如不按上述要求递交的，采购代理机构有权拒绝接收。</w:t>
      </w:r>
    </w:p>
    <w:p>
      <w:pPr>
        <w:spacing w:before="60" w:beforeLines="25" w:after="60" w:afterLines="25" w:line="360" w:lineRule="auto"/>
        <w:ind w:left="525" w:hanging="525" w:hangingChars="250"/>
        <w:rPr>
          <w:sz w:val="21"/>
          <w:szCs w:val="21"/>
        </w:rPr>
      </w:pPr>
      <w:r>
        <w:rPr>
          <w:sz w:val="21"/>
          <w:szCs w:val="21"/>
          <w:lang w:val="en-US"/>
        </w:rPr>
        <w:t xml:space="preserve">12.2 </w:t>
      </w:r>
      <w:r>
        <w:rPr>
          <w:rFonts w:hint="eastAsia"/>
          <w:sz w:val="21"/>
          <w:szCs w:val="21"/>
          <w:lang w:val="en-US"/>
        </w:rPr>
        <w:t>按《政府采购竞争性磋商采购方式管理暂行办法》的规定，供应商应当在磋商文件要求的截止时间前，将响应文件密封送达指定地点。在截止时间后送达的响应文件为无效文件，采购人、采购代理机构或者磋商小组应当拒收。</w:t>
      </w:r>
    </w:p>
    <w:p>
      <w:pPr>
        <w:spacing w:before="60" w:beforeLines="25" w:after="60" w:afterLines="25" w:line="360" w:lineRule="auto"/>
        <w:ind w:left="525" w:hanging="525" w:hangingChars="250"/>
        <w:rPr>
          <w:b/>
          <w:sz w:val="21"/>
          <w:szCs w:val="21"/>
        </w:rPr>
      </w:pPr>
      <w:r>
        <w:rPr>
          <w:sz w:val="21"/>
          <w:szCs w:val="21"/>
          <w:lang w:val="en-US"/>
        </w:rPr>
        <w:t xml:space="preserve">12.3 </w:t>
      </w:r>
      <w:r>
        <w:rPr>
          <w:rFonts w:hint="eastAsia"/>
          <w:sz w:val="21"/>
          <w:szCs w:val="21"/>
          <w:lang w:val="en-US"/>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before="120" w:beforeLines="50" w:after="120" w:afterLines="50" w:line="360" w:lineRule="auto"/>
        <w:outlineLvl w:val="1"/>
        <w:rPr>
          <w:b/>
          <w:sz w:val="21"/>
          <w:szCs w:val="21"/>
          <w:lang w:val="en-US"/>
        </w:rPr>
      </w:pPr>
      <w:bookmarkStart w:id="164" w:name="_bookmark19"/>
      <w:bookmarkEnd w:id="164"/>
      <w:bookmarkStart w:id="165" w:name="_Toc10416"/>
      <w:bookmarkStart w:id="166" w:name="_Toc27396"/>
      <w:bookmarkStart w:id="167" w:name="_Toc11902"/>
      <w:bookmarkStart w:id="168" w:name="_Toc23930"/>
      <w:r>
        <w:rPr>
          <w:rFonts w:hint="eastAsia"/>
          <w:b/>
          <w:sz w:val="21"/>
          <w:szCs w:val="21"/>
          <w:lang w:val="en-US"/>
        </w:rPr>
        <w:t>七、磋商标准、步骤及方法</w:t>
      </w:r>
      <w:bookmarkEnd w:id="165"/>
      <w:bookmarkEnd w:id="166"/>
      <w:bookmarkEnd w:id="167"/>
      <w:bookmarkEnd w:id="168"/>
    </w:p>
    <w:p>
      <w:pPr>
        <w:spacing w:before="60" w:beforeLines="25" w:after="60" w:afterLines="25" w:line="360" w:lineRule="auto"/>
        <w:ind w:firstLine="420" w:firstLineChars="200"/>
        <w:rPr>
          <w:sz w:val="21"/>
          <w:szCs w:val="21"/>
        </w:rPr>
      </w:pPr>
      <w:r>
        <w:rPr>
          <w:rFonts w:hint="eastAsia"/>
          <w:sz w:val="21"/>
          <w:szCs w:val="21"/>
          <w:lang w:val="en-US"/>
        </w:rPr>
        <w:t>根据《政府采购竞争性磋商采购方式管理暂行办法》的相关规定确定以下磋商方法、步骤及标准：</w:t>
      </w:r>
    </w:p>
    <w:p>
      <w:pPr>
        <w:spacing w:before="60" w:beforeLines="25" w:after="60" w:afterLines="25" w:line="360" w:lineRule="auto"/>
        <w:ind w:left="525" w:hanging="525" w:hangingChars="250"/>
        <w:rPr>
          <w:sz w:val="21"/>
          <w:szCs w:val="21"/>
        </w:rPr>
      </w:pPr>
      <w:r>
        <w:rPr>
          <w:sz w:val="21"/>
          <w:szCs w:val="21"/>
          <w:lang w:val="en-US"/>
        </w:rPr>
        <w:t xml:space="preserve">13. </w:t>
      </w:r>
      <w:r>
        <w:rPr>
          <w:rFonts w:hint="eastAsia"/>
          <w:sz w:val="21"/>
          <w:szCs w:val="21"/>
          <w:lang w:val="en-US"/>
        </w:rPr>
        <w:t>磋商文件的澄清或修改</w:t>
      </w:r>
    </w:p>
    <w:p>
      <w:pPr>
        <w:spacing w:before="60" w:beforeLines="25" w:after="60" w:afterLines="25" w:line="360" w:lineRule="auto"/>
        <w:ind w:left="525" w:hanging="525" w:hangingChars="250"/>
        <w:rPr>
          <w:sz w:val="21"/>
          <w:szCs w:val="21"/>
        </w:rPr>
      </w:pPr>
      <w:r>
        <w:rPr>
          <w:sz w:val="21"/>
          <w:szCs w:val="21"/>
          <w:lang w:val="en-US"/>
        </w:rPr>
        <w:t xml:space="preserve">13.1 </w:t>
      </w:r>
      <w:r>
        <w:rPr>
          <w:rFonts w:hint="eastAsia"/>
          <w:sz w:val="21"/>
          <w:szCs w:val="21"/>
          <w:lang w:val="en-US"/>
        </w:rPr>
        <w:t>提交首次响应文件截止之日前，采购人、采购代理机构或者磋商小组可以对已发出的磋商文件进行必要的澄清或者修改，澄清或者修改的内容作为磋商文件的组成部分。</w:t>
      </w:r>
    </w:p>
    <w:p>
      <w:pPr>
        <w:spacing w:before="60" w:beforeLines="25" w:after="60" w:afterLines="25" w:line="360" w:lineRule="auto"/>
        <w:ind w:left="735" w:hanging="735" w:hangingChars="350"/>
        <w:rPr>
          <w:sz w:val="21"/>
          <w:szCs w:val="21"/>
        </w:rPr>
      </w:pPr>
      <w:r>
        <w:rPr>
          <w:sz w:val="21"/>
          <w:szCs w:val="21"/>
          <w:lang w:val="en-US"/>
        </w:rPr>
        <w:t xml:space="preserve">13.1.1 </w:t>
      </w:r>
      <w:r>
        <w:rPr>
          <w:rFonts w:hint="eastAsia"/>
          <w:sz w:val="21"/>
          <w:szCs w:val="21"/>
          <w:lang w:val="en-US"/>
        </w:rPr>
        <w:t>磋商文件需要进行澄清或者修改的，采购代理机构将在规定递交响应文件截止时间前，以书面形式通知所有购买磋商文件的潜在响应供应商，对潜在响应供应商具有约束力。潜在响应供应商收到澄清修改文件后，应立即以书面形式向采购代理机构确认。</w:t>
      </w:r>
    </w:p>
    <w:p>
      <w:pPr>
        <w:spacing w:before="60" w:beforeLines="25" w:after="60" w:afterLines="25" w:line="360" w:lineRule="auto"/>
        <w:ind w:left="735" w:hanging="735" w:hangingChars="350"/>
        <w:rPr>
          <w:sz w:val="21"/>
          <w:szCs w:val="21"/>
        </w:rPr>
      </w:pPr>
      <w:r>
        <w:rPr>
          <w:sz w:val="21"/>
          <w:szCs w:val="21"/>
          <w:lang w:val="en-US"/>
        </w:rPr>
        <w:t xml:space="preserve">13.1.2 </w:t>
      </w:r>
      <w:r>
        <w:rPr>
          <w:rFonts w:hint="eastAsia"/>
          <w:sz w:val="21"/>
          <w:szCs w:val="21"/>
          <w:lang w:val="en-US"/>
        </w:rPr>
        <w:t>澄清或者修改的内容有可能影响响应文件编制的，采购人、采购代理机构应当在提交首次响应文件截止时间至少</w:t>
      </w:r>
      <w:r>
        <w:rPr>
          <w:sz w:val="21"/>
          <w:szCs w:val="21"/>
          <w:lang w:val="en-US"/>
        </w:rPr>
        <w:t>5日前，以书面形式通知所有获取磋商文件的供应商；不足5日的，采购人、采购代理机构应当顺延提交首次响应文件截止时间。</w:t>
      </w:r>
    </w:p>
    <w:p>
      <w:pPr>
        <w:spacing w:before="60" w:beforeLines="25" w:after="60" w:afterLines="25" w:line="360" w:lineRule="auto"/>
        <w:ind w:left="525" w:hanging="525" w:hangingChars="250"/>
        <w:rPr>
          <w:sz w:val="21"/>
          <w:szCs w:val="21"/>
        </w:rPr>
      </w:pPr>
      <w:r>
        <w:rPr>
          <w:sz w:val="21"/>
          <w:szCs w:val="21"/>
          <w:lang w:val="en-US"/>
        </w:rPr>
        <w:t xml:space="preserve">13.2 </w:t>
      </w:r>
      <w:r>
        <w:rPr>
          <w:rFonts w:hint="eastAsia"/>
          <w:sz w:val="21"/>
          <w:szCs w:val="21"/>
          <w:lang w:val="en-US"/>
        </w:rPr>
        <w:t>任何要求对磋商文件进行澄清的响应供应商，均应以书面形式在磋商文件规定的磋商响应文件递交截止日以前通知采购代理机构。采购代理机构将组织采购人对响应供应商所要求澄清的内容以书面形式予以答复。必要时，采购代理机构将组织相关专家召开答疑会，会议内容会以书面的形式发给每个购买磋商文件的潜在响应供应商（答复中不包括问题的来源）。</w:t>
      </w:r>
    </w:p>
    <w:p>
      <w:pPr>
        <w:spacing w:before="60" w:beforeLines="25" w:after="60" w:afterLines="25" w:line="360" w:lineRule="auto"/>
        <w:ind w:left="525" w:hanging="525" w:hangingChars="250"/>
        <w:rPr>
          <w:sz w:val="21"/>
          <w:szCs w:val="21"/>
        </w:rPr>
      </w:pPr>
      <w:r>
        <w:rPr>
          <w:sz w:val="21"/>
          <w:szCs w:val="21"/>
          <w:lang w:val="en-US"/>
        </w:rPr>
        <w:t xml:space="preserve">13.3 </w:t>
      </w:r>
      <w:r>
        <w:rPr>
          <w:rFonts w:hint="eastAsia"/>
          <w:sz w:val="21"/>
          <w:szCs w:val="21"/>
          <w:lang w:val="en-US"/>
        </w:rPr>
        <w:t>响应供应商在规定的时间内未要求对磋商文件澄清或提出疑问的，采购代理机构将视其为无异议。对磋商文件中描述有歧义或前后不一致的地方，磋商委员会有权进行评判，但对同一条款的评判应适用于每个响应供应商。</w:t>
      </w:r>
    </w:p>
    <w:p>
      <w:pPr>
        <w:spacing w:before="60" w:beforeLines="25" w:after="60" w:afterLines="25" w:line="360" w:lineRule="auto"/>
        <w:ind w:left="525" w:hanging="525" w:hangingChars="250"/>
        <w:rPr>
          <w:sz w:val="21"/>
          <w:szCs w:val="21"/>
        </w:rPr>
      </w:pPr>
      <w:r>
        <w:rPr>
          <w:sz w:val="21"/>
          <w:szCs w:val="21"/>
          <w:lang w:val="en-US"/>
        </w:rPr>
        <w:t xml:space="preserve">14. </w:t>
      </w:r>
      <w:r>
        <w:rPr>
          <w:rFonts w:hint="eastAsia"/>
          <w:sz w:val="21"/>
          <w:szCs w:val="21"/>
          <w:lang w:val="en-US"/>
        </w:rPr>
        <w:t>磋商小组</w:t>
      </w:r>
    </w:p>
    <w:p>
      <w:pPr>
        <w:spacing w:before="60" w:beforeLines="25" w:after="60" w:afterLines="25" w:line="360" w:lineRule="auto"/>
        <w:ind w:left="525" w:hanging="525" w:hangingChars="250"/>
        <w:rPr>
          <w:b/>
          <w:bCs/>
          <w:sz w:val="21"/>
          <w:szCs w:val="21"/>
        </w:rPr>
      </w:pPr>
      <w:r>
        <w:rPr>
          <w:sz w:val="21"/>
          <w:szCs w:val="21"/>
          <w:lang w:val="en-US"/>
        </w:rPr>
        <w:t xml:space="preserve">14.1 </w:t>
      </w:r>
      <w:r>
        <w:rPr>
          <w:rFonts w:hint="eastAsia"/>
          <w:sz w:val="21"/>
          <w:szCs w:val="21"/>
          <w:lang w:val="en-US"/>
        </w:rPr>
        <w:t>磋商小组由采购代理机构依法从专家库中随机抽取，依法组建。磋商小组由采购人代表和（技术、经济等）方面的评审专家共</w:t>
      </w:r>
      <w:r>
        <w:rPr>
          <w:sz w:val="21"/>
          <w:szCs w:val="21"/>
          <w:lang w:val="en-US"/>
        </w:rPr>
        <w:t>3人以上单数组成，其中评审专家人数不得少于磋商小组成员总数的2/3。本项目的磋商小组由3名成员组成，其中</w:t>
      </w:r>
      <w:r>
        <w:rPr>
          <w:rFonts w:hint="eastAsia"/>
          <w:b/>
          <w:bCs/>
          <w:sz w:val="21"/>
          <w:szCs w:val="21"/>
          <w:lang w:val="en-US"/>
        </w:rPr>
        <w:t>采购人代表</w:t>
      </w:r>
      <w:r>
        <w:rPr>
          <w:b/>
          <w:bCs/>
          <w:sz w:val="21"/>
          <w:szCs w:val="21"/>
          <w:u w:val="single"/>
          <w:lang w:val="en-US"/>
        </w:rPr>
        <w:t>1</w:t>
      </w:r>
      <w:r>
        <w:rPr>
          <w:rFonts w:hint="eastAsia"/>
          <w:b/>
          <w:bCs/>
          <w:sz w:val="21"/>
          <w:szCs w:val="21"/>
          <w:lang w:val="en-US"/>
        </w:rPr>
        <w:t>名，其余</w:t>
      </w:r>
      <w:r>
        <w:rPr>
          <w:b/>
          <w:bCs/>
          <w:sz w:val="21"/>
          <w:szCs w:val="21"/>
          <w:u w:val="single"/>
          <w:lang w:val="en-US"/>
        </w:rPr>
        <w:t>2</w:t>
      </w:r>
      <w:r>
        <w:rPr>
          <w:rFonts w:hint="eastAsia"/>
          <w:b/>
          <w:bCs/>
          <w:sz w:val="21"/>
          <w:szCs w:val="21"/>
          <w:lang w:val="en-US"/>
        </w:rPr>
        <w:t>名从采购专家库中随机抽取。</w:t>
      </w:r>
    </w:p>
    <w:p>
      <w:pPr>
        <w:spacing w:before="60" w:beforeLines="25" w:after="60" w:afterLines="25" w:line="360" w:lineRule="auto"/>
        <w:ind w:left="525" w:hanging="525" w:hangingChars="250"/>
        <w:rPr>
          <w:sz w:val="21"/>
          <w:szCs w:val="21"/>
        </w:rPr>
      </w:pPr>
      <w:r>
        <w:rPr>
          <w:sz w:val="21"/>
          <w:szCs w:val="21"/>
          <w:lang w:val="en-US"/>
        </w:rPr>
        <w:t xml:space="preserve">14.2 </w:t>
      </w:r>
      <w:r>
        <w:rPr>
          <w:rFonts w:hint="eastAsia"/>
          <w:sz w:val="21"/>
          <w:szCs w:val="21"/>
          <w:lang w:val="en-US"/>
        </w:rPr>
        <w:t>磋商小组名单在磋商结果确定前严格保密。磋商专家有下列情形之一的，受到邀请应主动提出回避，采购当事人也可以要求该磋商专家回避：</w:t>
      </w:r>
    </w:p>
    <w:p>
      <w:pPr>
        <w:spacing w:before="60" w:beforeLines="25" w:after="60" w:afterLines="25" w:line="360" w:lineRule="auto"/>
        <w:ind w:firstLine="420" w:firstLineChars="200"/>
        <w:rPr>
          <w:sz w:val="21"/>
          <w:szCs w:val="21"/>
        </w:rPr>
      </w:pPr>
      <w:r>
        <w:rPr>
          <w:sz w:val="21"/>
          <w:szCs w:val="21"/>
        </w:rPr>
        <w:t>(一)参加采购活动前三年内,与供应商存在劳动关系,或者担任过供应商的董事、监事,或者是供应商的 控股股东或实际控制人</w:t>
      </w:r>
      <w:r>
        <w:rPr>
          <w:rFonts w:hint="eastAsia"/>
          <w:sz w:val="21"/>
          <w:szCs w:val="21"/>
        </w:rPr>
        <w:t>；</w:t>
      </w:r>
    </w:p>
    <w:p>
      <w:pPr>
        <w:spacing w:before="60" w:beforeLines="25" w:after="60" w:afterLines="25" w:line="360" w:lineRule="auto"/>
        <w:ind w:firstLine="420" w:firstLineChars="200"/>
        <w:rPr>
          <w:sz w:val="21"/>
          <w:szCs w:val="21"/>
        </w:rPr>
      </w:pPr>
      <w:r>
        <w:rPr>
          <w:sz w:val="21"/>
          <w:szCs w:val="21"/>
        </w:rPr>
        <w:t>(二)与供应商的法定代表人或者负责人有夫妻、直系血亲、三代以内旁系血亲或者近姻亲关系</w:t>
      </w:r>
      <w:r>
        <w:rPr>
          <w:rFonts w:hint="eastAsia"/>
          <w:sz w:val="21"/>
          <w:szCs w:val="21"/>
        </w:rPr>
        <w:t>；</w:t>
      </w:r>
      <w:r>
        <w:rPr>
          <w:sz w:val="21"/>
          <w:szCs w:val="21"/>
        </w:rPr>
        <w:t xml:space="preserve"> </w:t>
      </w:r>
    </w:p>
    <w:p>
      <w:pPr>
        <w:spacing w:before="60" w:beforeLines="25" w:after="60" w:afterLines="25" w:line="360" w:lineRule="auto"/>
        <w:ind w:firstLine="420" w:firstLineChars="200"/>
        <w:rPr>
          <w:sz w:val="21"/>
          <w:szCs w:val="21"/>
        </w:rPr>
      </w:pPr>
      <w:r>
        <w:rPr>
          <w:sz w:val="21"/>
          <w:szCs w:val="21"/>
        </w:rPr>
        <w:t>(三)与供应商有其他可能影响采购活动公平、公正进行的关系。</w:t>
      </w:r>
    </w:p>
    <w:p>
      <w:pPr>
        <w:spacing w:before="60" w:beforeLines="25" w:after="60" w:afterLines="25" w:line="360" w:lineRule="auto"/>
        <w:ind w:left="525" w:hanging="525" w:hangingChars="250"/>
        <w:rPr>
          <w:sz w:val="21"/>
          <w:szCs w:val="21"/>
        </w:rPr>
      </w:pPr>
      <w:r>
        <w:rPr>
          <w:sz w:val="21"/>
          <w:szCs w:val="21"/>
          <w:lang w:val="en-US"/>
        </w:rPr>
        <w:t xml:space="preserve">15. </w:t>
      </w:r>
      <w:r>
        <w:rPr>
          <w:rFonts w:hint="eastAsia"/>
          <w:sz w:val="21"/>
          <w:szCs w:val="21"/>
          <w:lang w:val="en-US"/>
        </w:rPr>
        <w:t>磋商标准：</w:t>
      </w:r>
    </w:p>
    <w:p>
      <w:pPr>
        <w:spacing w:before="60" w:beforeLines="25" w:after="60" w:afterLines="25" w:line="360" w:lineRule="auto"/>
        <w:ind w:left="525" w:hanging="525" w:hangingChars="250"/>
        <w:rPr>
          <w:sz w:val="21"/>
          <w:szCs w:val="21"/>
        </w:rPr>
      </w:pPr>
      <w:r>
        <w:rPr>
          <w:sz w:val="21"/>
          <w:szCs w:val="21"/>
          <w:lang w:val="en-US"/>
        </w:rPr>
        <w:t xml:space="preserve">15.1 </w:t>
      </w:r>
      <w:r>
        <w:rPr>
          <w:rFonts w:hint="eastAsia"/>
          <w:sz w:val="21"/>
          <w:szCs w:val="21"/>
          <w:lang w:val="en-US"/>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由授权代表签字的，应当附法定代表人授权书。</w:t>
      </w:r>
    </w:p>
    <w:p>
      <w:pPr>
        <w:spacing w:before="60" w:beforeLines="25" w:after="60" w:afterLines="25" w:line="360" w:lineRule="auto"/>
        <w:ind w:left="525" w:hanging="525" w:hangingChars="250"/>
        <w:rPr>
          <w:sz w:val="21"/>
          <w:szCs w:val="21"/>
        </w:rPr>
      </w:pPr>
      <w:r>
        <w:rPr>
          <w:sz w:val="21"/>
          <w:szCs w:val="21"/>
          <w:lang w:val="en-US"/>
        </w:rPr>
        <w:t xml:space="preserve">15.2 </w:t>
      </w:r>
      <w:r>
        <w:rPr>
          <w:rFonts w:hint="eastAsia"/>
          <w:sz w:val="21"/>
          <w:szCs w:val="21"/>
          <w:lang w:val="en-US"/>
        </w:rPr>
        <w:t>资格、符合性审查详见磋商文件第三部分的《</w:t>
      </w:r>
      <w:r>
        <w:rPr>
          <w:rFonts w:hint="eastAsia"/>
          <w:sz w:val="21"/>
          <w:szCs w:val="21"/>
        </w:rPr>
        <w:t>资格性和符合性审查表</w:t>
      </w:r>
      <w:r>
        <w:rPr>
          <w:rFonts w:hint="eastAsia"/>
          <w:sz w:val="21"/>
          <w:szCs w:val="21"/>
          <w:lang w:val="en-US"/>
        </w:rPr>
        <w:t>》，未能通过资格符合性审查被认定为无效响应，磋商小组应当现场告知有关供应商。只有全部满足《</w:t>
      </w:r>
      <w:r>
        <w:rPr>
          <w:rFonts w:hint="eastAsia"/>
          <w:sz w:val="21"/>
          <w:szCs w:val="21"/>
        </w:rPr>
        <w:t>资格性和符合性审查表</w:t>
      </w:r>
      <w:r>
        <w:rPr>
          <w:rFonts w:hint="eastAsia"/>
          <w:sz w:val="21"/>
          <w:szCs w:val="21"/>
          <w:lang w:val="en-US"/>
        </w:rPr>
        <w:t>》所列各项要求的磋商才是有效磋商，只要不满足《</w:t>
      </w:r>
      <w:r>
        <w:rPr>
          <w:rFonts w:hint="eastAsia"/>
          <w:sz w:val="21"/>
          <w:szCs w:val="21"/>
        </w:rPr>
        <w:t>资格性和符合性审查表</w:t>
      </w:r>
      <w:r>
        <w:rPr>
          <w:rFonts w:hint="eastAsia"/>
          <w:sz w:val="21"/>
          <w:szCs w:val="21"/>
          <w:lang w:val="en-US"/>
        </w:rPr>
        <w:t>》中所列各项要求之一的，都将被认定为无效响应。对磋商有效性认定意见不一致的，磋商小组按照少数服从多数的原则确定。</w:t>
      </w:r>
    </w:p>
    <w:p>
      <w:pPr>
        <w:spacing w:before="60" w:beforeLines="25" w:after="60" w:afterLines="25" w:line="360" w:lineRule="auto"/>
        <w:ind w:left="525" w:hanging="525" w:hangingChars="250"/>
        <w:rPr>
          <w:sz w:val="21"/>
          <w:szCs w:val="21"/>
        </w:rPr>
      </w:pPr>
      <w:r>
        <w:rPr>
          <w:sz w:val="21"/>
          <w:szCs w:val="21"/>
          <w:lang w:val="en-US"/>
        </w:rPr>
        <w:t xml:space="preserve">15.3 </w:t>
      </w:r>
      <w:r>
        <w:rPr>
          <w:rFonts w:hint="eastAsia"/>
          <w:sz w:val="21"/>
          <w:szCs w:val="21"/>
          <w:lang w:val="en-US"/>
        </w:rPr>
        <w:t>磋商小组所有成员应当集中与单一供应商分别进行磋商，并给予所有参加磋商的响应供应商平等的磋商机会。</w:t>
      </w:r>
    </w:p>
    <w:p>
      <w:pPr>
        <w:spacing w:before="60" w:beforeLines="25" w:after="60" w:afterLines="25" w:line="360" w:lineRule="auto"/>
        <w:ind w:left="525" w:hanging="525" w:hangingChars="250"/>
        <w:rPr>
          <w:sz w:val="21"/>
          <w:szCs w:val="21"/>
        </w:rPr>
      </w:pPr>
      <w:r>
        <w:rPr>
          <w:sz w:val="21"/>
          <w:szCs w:val="21"/>
          <w:lang w:val="en-US"/>
        </w:rPr>
        <w:t xml:space="preserve">15.3.1 </w:t>
      </w:r>
      <w:r>
        <w:rPr>
          <w:rFonts w:hint="eastAsia"/>
          <w:sz w:val="21"/>
          <w:szCs w:val="21"/>
          <w:lang w:val="en-US"/>
        </w:rPr>
        <w:t>本次磋商次序以响应供应商签到顺序确定。</w:t>
      </w:r>
    </w:p>
    <w:p>
      <w:pPr>
        <w:spacing w:before="60" w:beforeLines="25" w:after="60" w:afterLines="25" w:line="360" w:lineRule="auto"/>
        <w:ind w:left="525" w:hanging="525" w:hangingChars="250"/>
        <w:rPr>
          <w:sz w:val="21"/>
          <w:szCs w:val="21"/>
        </w:rPr>
      </w:pPr>
      <w:r>
        <w:rPr>
          <w:sz w:val="21"/>
          <w:szCs w:val="21"/>
          <w:lang w:val="en-US"/>
        </w:rPr>
        <w:t xml:space="preserve">15.4 </w:t>
      </w:r>
      <w:r>
        <w:rPr>
          <w:rFonts w:hint="eastAsia"/>
          <w:sz w:val="21"/>
          <w:szCs w:val="21"/>
          <w:lang w:val="en-US"/>
        </w:rPr>
        <w:t>在磋商过程中，磋商小组可以根据磋商文件和磋商情况实质性变动采购需求中的技术、服务要求以及合同草案条款，但不得变动磋商文件中的其他内容。实质性变动的内容，须经采购人代表确认。对磋商文件作出实质性变动是磋商文件的有效组成部分，磋商小组应当及时以书面形式同时通知所有参加磋商的响应供应商。供应商应当按照磋商文件的变动情况和磋商小组的要求重新提交响应文件，并由其法定代表人或授权代表签字或者加盖公章。由授权代表签字的，应当附法定代表人授权书。</w:t>
      </w:r>
    </w:p>
    <w:p>
      <w:pPr>
        <w:spacing w:before="60" w:beforeLines="25" w:after="60" w:afterLines="25" w:line="360" w:lineRule="auto"/>
        <w:ind w:left="525" w:hanging="525" w:hangingChars="250"/>
        <w:rPr>
          <w:sz w:val="21"/>
          <w:szCs w:val="21"/>
        </w:rPr>
      </w:pPr>
      <w:r>
        <w:rPr>
          <w:sz w:val="21"/>
          <w:szCs w:val="21"/>
          <w:lang w:val="en-US"/>
        </w:rPr>
        <w:t xml:space="preserve">15.5 </w:t>
      </w:r>
      <w:r>
        <w:rPr>
          <w:rFonts w:hint="eastAsia"/>
          <w:sz w:val="21"/>
          <w:szCs w:val="21"/>
          <w:lang w:val="en-US"/>
        </w:rPr>
        <w:t>在磋商中，磋商小组及有关当事人应当严格遵守保密原则，任何人不得透露与磋商有关的其他响应供应商的技术资料、价格和其他信息。</w:t>
      </w:r>
    </w:p>
    <w:p>
      <w:pPr>
        <w:spacing w:before="60" w:beforeLines="25" w:after="60" w:afterLines="25" w:line="360" w:lineRule="auto"/>
        <w:ind w:left="525" w:hanging="525" w:hangingChars="250"/>
        <w:rPr>
          <w:sz w:val="21"/>
          <w:szCs w:val="21"/>
        </w:rPr>
      </w:pPr>
      <w:r>
        <w:rPr>
          <w:sz w:val="21"/>
          <w:szCs w:val="21"/>
          <w:lang w:val="en-US"/>
        </w:rPr>
        <w:t xml:space="preserve">15.6 </w:t>
      </w:r>
      <w:r>
        <w:rPr>
          <w:rFonts w:hint="eastAsia"/>
          <w:sz w:val="21"/>
          <w:szCs w:val="21"/>
          <w:lang w:val="en-US"/>
        </w:rPr>
        <w:t>磋商文件能够详细列明采购标的的技术、服务要求的，磋商结束后，磋商小组要求所有作出实质性响应的有效供应商应在规定的时间内提交最后磋商报价，最后报价不得高于最初报价，否则磋商小组有权确定其报价为无效报价。</w:t>
      </w:r>
    </w:p>
    <w:p>
      <w:pPr>
        <w:spacing w:before="60" w:beforeLines="25" w:after="60" w:afterLines="25" w:line="360" w:lineRule="auto"/>
        <w:ind w:left="525" w:hanging="525" w:hangingChars="250"/>
        <w:rPr>
          <w:sz w:val="21"/>
          <w:szCs w:val="21"/>
        </w:rPr>
      </w:pPr>
      <w:r>
        <w:rPr>
          <w:sz w:val="21"/>
          <w:szCs w:val="21"/>
          <w:lang w:val="en-US"/>
        </w:rPr>
        <w:t xml:space="preserve">15.7 </w:t>
      </w:r>
      <w:r>
        <w:rPr>
          <w:rFonts w:hint="eastAsia"/>
          <w:sz w:val="21"/>
          <w:szCs w:val="21"/>
          <w:lang w:val="en-US"/>
        </w:rPr>
        <w:t>如出现磋商文件不能详细列明采购标的的技术、服务要求，需经磋商由供应商最终设计方案或解决方案的，磋商结束后，磋商小组按照少数服从多数的原则，投票推荐</w:t>
      </w:r>
      <w:r>
        <w:rPr>
          <w:sz w:val="21"/>
          <w:szCs w:val="21"/>
          <w:lang w:val="en-US"/>
        </w:rPr>
        <w:t>3家以上供应商的设计方案或者解决方案在规定的时间内提交最后磋商报价（最后报价时间由磋商小组视磋商进程决定）。</w:t>
      </w:r>
      <w:r>
        <w:rPr>
          <w:rFonts w:hint="eastAsia"/>
          <w:b/>
          <w:sz w:val="21"/>
          <w:szCs w:val="21"/>
          <w:lang w:val="en-US"/>
        </w:rPr>
        <w:t>（本项条款不适用）</w:t>
      </w:r>
    </w:p>
    <w:p>
      <w:pPr>
        <w:spacing w:before="60" w:beforeLines="25" w:after="60" w:afterLines="25" w:line="360" w:lineRule="auto"/>
        <w:ind w:left="525" w:hanging="525" w:hangingChars="250"/>
        <w:rPr>
          <w:sz w:val="21"/>
          <w:szCs w:val="21"/>
        </w:rPr>
      </w:pPr>
      <w:r>
        <w:rPr>
          <w:sz w:val="21"/>
          <w:szCs w:val="21"/>
          <w:lang w:val="en-US"/>
        </w:rPr>
        <w:t xml:space="preserve">15.8 </w:t>
      </w:r>
      <w:r>
        <w:rPr>
          <w:rFonts w:hint="eastAsia"/>
          <w:sz w:val="21"/>
          <w:szCs w:val="21"/>
          <w:lang w:val="en-US"/>
        </w:rPr>
        <w:t>已提交响应文件的供应商，在提交最后报价之前，可以根据磋商情况退出磋商。</w:t>
      </w:r>
    </w:p>
    <w:p>
      <w:pPr>
        <w:spacing w:before="60" w:beforeLines="25" w:after="60" w:afterLines="25" w:line="360" w:lineRule="auto"/>
        <w:ind w:left="525" w:hanging="525" w:hangingChars="250"/>
        <w:rPr>
          <w:sz w:val="21"/>
          <w:szCs w:val="21"/>
        </w:rPr>
      </w:pPr>
      <w:r>
        <w:rPr>
          <w:sz w:val="21"/>
          <w:szCs w:val="21"/>
          <w:lang w:val="en-US"/>
        </w:rPr>
        <w:t xml:space="preserve">15.9 </w:t>
      </w:r>
      <w:r>
        <w:rPr>
          <w:sz w:val="21"/>
          <w:szCs w:val="21"/>
        </w:rPr>
        <w:t>最后报价不进行公开唱出。最后报价是供应商响应文件的有效组成部分</w:t>
      </w:r>
      <w:r>
        <w:rPr>
          <w:sz w:val="24"/>
          <w:szCs w:val="24"/>
        </w:rPr>
        <w:t>。</w:t>
      </w:r>
    </w:p>
    <w:p>
      <w:pPr>
        <w:spacing w:before="60" w:beforeLines="25" w:after="60" w:afterLines="25" w:line="360" w:lineRule="auto"/>
        <w:ind w:left="630" w:hanging="630" w:hangingChars="300"/>
        <w:rPr>
          <w:sz w:val="21"/>
          <w:szCs w:val="21"/>
        </w:rPr>
      </w:pPr>
      <w:r>
        <w:rPr>
          <w:sz w:val="21"/>
          <w:szCs w:val="21"/>
          <w:lang w:val="en-US"/>
        </w:rPr>
        <w:t xml:space="preserve">15.10 对成交供应商的价格出现明显低于或高于同业同期市场平均价的情形时，磋商小组应当在评审意见中详细说明推荐理由。 </w:t>
      </w:r>
    </w:p>
    <w:p>
      <w:pPr>
        <w:spacing w:before="60" w:beforeLines="25" w:after="60" w:afterLines="25" w:line="360" w:lineRule="auto"/>
        <w:rPr>
          <w:sz w:val="21"/>
          <w:szCs w:val="21"/>
        </w:rPr>
      </w:pPr>
      <w:r>
        <w:rPr>
          <w:sz w:val="21"/>
          <w:szCs w:val="21"/>
          <w:lang w:val="en-US"/>
        </w:rPr>
        <w:t xml:space="preserve">15.11 </w:t>
      </w:r>
      <w:r>
        <w:rPr>
          <w:rFonts w:hint="eastAsia"/>
          <w:sz w:val="21"/>
          <w:szCs w:val="21"/>
          <w:lang w:val="en-US"/>
        </w:rPr>
        <w:t>报价修正误差的原则如下：</w:t>
      </w:r>
    </w:p>
    <w:p>
      <w:pPr>
        <w:spacing w:before="60" w:beforeLines="25" w:after="60" w:afterLines="25" w:line="360" w:lineRule="auto"/>
        <w:ind w:firstLine="420" w:firstLineChars="200"/>
        <w:rPr>
          <w:sz w:val="21"/>
          <w:szCs w:val="21"/>
        </w:rPr>
      </w:pPr>
      <w:r>
        <w:rPr>
          <w:sz w:val="21"/>
          <w:szCs w:val="21"/>
          <w:lang w:val="en-US"/>
        </w:rPr>
        <w:t>1)响应文件中的大写金额和小写金额不一致的，以大写金额为准；</w:t>
      </w:r>
    </w:p>
    <w:p>
      <w:pPr>
        <w:spacing w:before="60" w:beforeLines="25" w:after="60" w:afterLines="25" w:line="360" w:lineRule="auto"/>
        <w:ind w:left="650" w:leftChars="200" w:hanging="210" w:hangingChars="100"/>
        <w:rPr>
          <w:sz w:val="21"/>
          <w:szCs w:val="21"/>
        </w:rPr>
      </w:pPr>
      <w:r>
        <w:rPr>
          <w:sz w:val="21"/>
          <w:szCs w:val="21"/>
          <w:lang w:val="en-US"/>
        </w:rPr>
        <w:t>2)总价金额与按单价汇总金额不一致的，以单价金额计算结果为准；单价金额小数点有明显错位的，应以总价为准，并修改单价；</w:t>
      </w:r>
    </w:p>
    <w:p>
      <w:pPr>
        <w:spacing w:before="60" w:beforeLines="25" w:after="60" w:afterLines="25" w:line="360" w:lineRule="auto"/>
        <w:ind w:firstLine="420" w:firstLineChars="200"/>
        <w:rPr>
          <w:sz w:val="21"/>
          <w:szCs w:val="21"/>
        </w:rPr>
      </w:pPr>
      <w:r>
        <w:rPr>
          <w:sz w:val="21"/>
          <w:szCs w:val="21"/>
          <w:lang w:val="en-US"/>
        </w:rPr>
        <w:t>3)对不同文字文本响应文件的解释发生异议的，以中文文本为准。</w:t>
      </w:r>
    </w:p>
    <w:p>
      <w:pPr>
        <w:spacing w:before="60" w:beforeLines="25" w:after="60" w:afterLines="25" w:line="360" w:lineRule="auto"/>
        <w:ind w:left="630" w:hanging="630" w:hangingChars="300"/>
        <w:rPr>
          <w:sz w:val="21"/>
          <w:szCs w:val="21"/>
        </w:rPr>
      </w:pPr>
      <w:r>
        <w:rPr>
          <w:sz w:val="21"/>
          <w:szCs w:val="21"/>
          <w:lang w:val="en-US"/>
        </w:rPr>
        <w:t xml:space="preserve">15.12 </w:t>
      </w:r>
      <w:r>
        <w:rPr>
          <w:rFonts w:hint="eastAsia"/>
          <w:sz w:val="21"/>
          <w:szCs w:val="21"/>
          <w:lang w:val="en-US"/>
        </w:rPr>
        <w:t>磋商小组按上述修正误差的原则调整的价格对其响应供应商具有约束力。如果响应供应商不接受修正后的价格，其报价将被拒绝。</w:t>
      </w:r>
    </w:p>
    <w:p>
      <w:pPr>
        <w:spacing w:before="60" w:beforeLines="25" w:after="60" w:afterLines="25" w:line="360" w:lineRule="auto"/>
        <w:ind w:left="630" w:hanging="630" w:hangingChars="300"/>
        <w:rPr>
          <w:sz w:val="21"/>
          <w:szCs w:val="21"/>
        </w:rPr>
      </w:pPr>
      <w:r>
        <w:rPr>
          <w:sz w:val="21"/>
          <w:szCs w:val="21"/>
          <w:lang w:val="en-US"/>
        </w:rPr>
        <w:t xml:space="preserve">15.13 </w:t>
      </w:r>
      <w:r>
        <w:rPr>
          <w:rFonts w:hint="eastAsia"/>
          <w:sz w:val="21"/>
          <w:szCs w:val="21"/>
          <w:lang w:val="en-US"/>
        </w:rPr>
        <w:t>磋商小组将按照磋商文件中确定的磋商方法和本磋商文件中的《商务评审表》和《技术评审表》评审标准进行评审。</w:t>
      </w:r>
    </w:p>
    <w:p>
      <w:pPr>
        <w:spacing w:before="60" w:beforeLines="25" w:after="60" w:afterLines="25" w:line="360" w:lineRule="auto"/>
        <w:ind w:left="630" w:hanging="630" w:hangingChars="300"/>
        <w:rPr>
          <w:sz w:val="21"/>
          <w:szCs w:val="21"/>
        </w:rPr>
      </w:pPr>
      <w:r>
        <w:rPr>
          <w:sz w:val="21"/>
          <w:szCs w:val="21"/>
          <w:lang w:val="en-US"/>
        </w:rPr>
        <w:t xml:space="preserve">15.14 </w:t>
      </w:r>
      <w:r>
        <w:rPr>
          <w:rFonts w:hint="eastAsia"/>
          <w:sz w:val="21"/>
          <w:szCs w:val="21"/>
          <w:lang w:val="en-US"/>
        </w:rPr>
        <w:t>除磋商文件另有规定的，磋商小组根据综合评分情况按照评审得分由高到低推荐</w:t>
      </w:r>
      <w:r>
        <w:rPr>
          <w:sz w:val="21"/>
          <w:szCs w:val="21"/>
          <w:lang w:val="en-US"/>
        </w:rPr>
        <w:t>3名成交候选人。评审得分相同的，按照最后磋商报价由低到高的顺序推荐。评审得分且最后磋商报价相同的，按照技术指标优劣顺序推荐。</w:t>
      </w:r>
    </w:p>
    <w:p>
      <w:pPr>
        <w:spacing w:before="60" w:beforeLines="25" w:after="60" w:afterLines="25" w:line="360" w:lineRule="auto"/>
        <w:ind w:left="630" w:hanging="630" w:hangingChars="300"/>
        <w:rPr>
          <w:sz w:val="21"/>
          <w:szCs w:val="21"/>
        </w:rPr>
      </w:pPr>
      <w:r>
        <w:rPr>
          <w:sz w:val="21"/>
          <w:szCs w:val="21"/>
          <w:lang w:val="en-US"/>
        </w:rPr>
        <w:t xml:space="preserve">15.15 </w:t>
      </w:r>
      <w:r>
        <w:rPr>
          <w:rFonts w:hint="eastAsia"/>
          <w:sz w:val="21"/>
          <w:szCs w:val="21"/>
          <w:lang w:val="en-US"/>
        </w:rPr>
        <w:t>评审报告应当由磋商小组全体人员签字认可。磋商小组成员对评审报告有异议的，磋商小组按照少数服从多数的原则推荐成交候选人，采购程序继续进行。对评审报告有异议的磋商小组成员，</w:t>
      </w:r>
      <w:r>
        <w:rPr>
          <w:sz w:val="21"/>
          <w:szCs w:val="21"/>
          <w:lang w:val="en-US"/>
        </w:rPr>
        <w:t xml:space="preserve"> </w:t>
      </w:r>
      <w:r>
        <w:rPr>
          <w:rFonts w:hint="eastAsia"/>
          <w:sz w:val="21"/>
          <w:szCs w:val="21"/>
          <w:lang w:val="en-US"/>
        </w:rPr>
        <w:t>应当在报告上签署不同意见并说明理由，由磋商小组书面记录相关情况。磋商小组成员拒绝在报告上签字又不书面说明其不同意见和理由的，视为同意评审报告。</w:t>
      </w:r>
    </w:p>
    <w:p>
      <w:pPr>
        <w:spacing w:before="60" w:beforeLines="25" w:after="60" w:afterLines="25" w:line="360" w:lineRule="auto"/>
        <w:ind w:left="630" w:hanging="630" w:hangingChars="300"/>
        <w:rPr>
          <w:sz w:val="21"/>
          <w:szCs w:val="21"/>
        </w:rPr>
      </w:pPr>
      <w:r>
        <w:rPr>
          <w:sz w:val="21"/>
          <w:szCs w:val="21"/>
          <w:lang w:val="en-US"/>
        </w:rPr>
        <w:t xml:space="preserve">15.16 出现下列情形之一的，采购人或采购代理机构终止竞争性磋商采购活动： </w:t>
      </w:r>
    </w:p>
    <w:p>
      <w:pPr>
        <w:spacing w:before="60" w:beforeLines="25" w:after="60" w:afterLines="25" w:line="360" w:lineRule="auto"/>
        <w:ind w:left="650" w:leftChars="200" w:hanging="210" w:hangingChars="100"/>
        <w:rPr>
          <w:sz w:val="21"/>
          <w:szCs w:val="21"/>
        </w:rPr>
      </w:pPr>
      <w:r>
        <w:rPr>
          <w:sz w:val="21"/>
          <w:szCs w:val="21"/>
          <w:lang w:val="en-US"/>
        </w:rPr>
        <w:t>1）因情况变化，不再符合规定的竞争性磋商采购方式适用情形的；</w:t>
      </w:r>
    </w:p>
    <w:p>
      <w:pPr>
        <w:spacing w:before="25" w:after="25" w:line="360" w:lineRule="auto"/>
        <w:ind w:left="650" w:leftChars="200" w:hanging="210" w:hangingChars="100"/>
        <w:rPr>
          <w:sz w:val="21"/>
          <w:szCs w:val="21"/>
        </w:rPr>
      </w:pPr>
      <w:r>
        <w:rPr>
          <w:sz w:val="21"/>
          <w:szCs w:val="21"/>
          <w:lang w:val="en-US"/>
        </w:rPr>
        <w:t>2）出现影响采购公正的违法、违规行为的；</w:t>
      </w:r>
    </w:p>
    <w:p>
      <w:pPr>
        <w:spacing w:before="25" w:after="25" w:line="360" w:lineRule="auto"/>
        <w:ind w:left="755" w:leftChars="200" w:hanging="315" w:hangingChars="150"/>
        <w:rPr>
          <w:sz w:val="21"/>
          <w:szCs w:val="21"/>
        </w:rPr>
      </w:pPr>
      <w:r>
        <w:rPr>
          <w:sz w:val="21"/>
          <w:szCs w:val="21"/>
          <w:lang w:val="en-US"/>
        </w:rPr>
        <w:t xml:space="preserve">3）除法律法规规定的情形外，在采购过程中符合要求的供应商或者报价未超过采购预算的供应商不足 3 </w:t>
      </w:r>
      <w:r>
        <w:rPr>
          <w:rFonts w:hint="eastAsia"/>
          <w:sz w:val="21"/>
          <w:szCs w:val="21"/>
          <w:lang w:val="en-US"/>
        </w:rPr>
        <w:t>家的。如符合《财政部关于政府采购竞争性磋商采购方式管理暂行办法有关问题的补充通知》</w:t>
      </w:r>
      <w:r>
        <w:rPr>
          <w:sz w:val="21"/>
          <w:szCs w:val="21"/>
          <w:lang w:val="en-US"/>
        </w:rPr>
        <w:t xml:space="preserve"> </w:t>
      </w:r>
      <w:r>
        <w:rPr>
          <w:rFonts w:hint="eastAsia"/>
          <w:sz w:val="21"/>
          <w:szCs w:val="21"/>
          <w:lang w:val="en-US"/>
        </w:rPr>
        <w:t>采用竞争性磋商采购方式采购的政府购买服务项目（含政府和社会资本合作项目），在采购过程中符合要求的供应商（社会资本）只有</w:t>
      </w:r>
      <w:r>
        <w:rPr>
          <w:sz w:val="21"/>
          <w:szCs w:val="21"/>
          <w:lang w:val="en-US"/>
        </w:rPr>
        <w:t>1家的。</w:t>
      </w:r>
      <w:r>
        <w:rPr>
          <w:rFonts w:hint="eastAsia"/>
          <w:b/>
          <w:sz w:val="21"/>
          <w:szCs w:val="21"/>
          <w:lang w:val="en-US"/>
        </w:rPr>
        <w:t>（本项条款不适用）</w:t>
      </w:r>
    </w:p>
    <w:p>
      <w:pPr>
        <w:spacing w:before="60" w:beforeLines="25" w:after="60" w:afterLines="25" w:line="360" w:lineRule="auto"/>
        <w:ind w:left="630" w:hanging="630" w:hangingChars="300"/>
        <w:rPr>
          <w:sz w:val="21"/>
          <w:szCs w:val="21"/>
        </w:rPr>
      </w:pPr>
      <w:r>
        <w:rPr>
          <w:sz w:val="21"/>
          <w:szCs w:val="21"/>
          <w:lang w:val="en-US"/>
        </w:rPr>
        <w:t xml:space="preserve">15.17 </w:t>
      </w:r>
      <w:r>
        <w:rPr>
          <w:rFonts w:hint="eastAsia"/>
          <w:sz w:val="21"/>
          <w:szCs w:val="21"/>
          <w:lang w:val="en-US"/>
        </w:rPr>
        <w:t>磋商小组提交评审报告和推荐成交意见报采购人确认，采购人在收到评审报告后在规定时间内，</w:t>
      </w:r>
      <w:r>
        <w:rPr>
          <w:sz w:val="21"/>
          <w:szCs w:val="21"/>
          <w:lang w:val="en-US"/>
        </w:rPr>
        <w:t xml:space="preserve"> </w:t>
      </w:r>
      <w:r>
        <w:rPr>
          <w:rFonts w:hint="eastAsia"/>
          <w:sz w:val="21"/>
          <w:szCs w:val="21"/>
          <w:lang w:val="en-US"/>
        </w:rPr>
        <w:t>按照评审报告中推荐的成交候选人顺序确定成交供应商，也可以事先授权磋商小组直接确定成交供应商。</w:t>
      </w:r>
    </w:p>
    <w:p>
      <w:pPr>
        <w:spacing w:before="60" w:beforeLines="25" w:after="60" w:afterLines="25" w:line="360" w:lineRule="auto"/>
        <w:rPr>
          <w:b/>
          <w:sz w:val="21"/>
          <w:szCs w:val="21"/>
        </w:rPr>
      </w:pPr>
      <w:r>
        <w:rPr>
          <w:b/>
          <w:sz w:val="21"/>
          <w:szCs w:val="21"/>
          <w:lang w:val="en-US"/>
        </w:rPr>
        <w:t xml:space="preserve">16. </w:t>
      </w:r>
      <w:r>
        <w:rPr>
          <w:rFonts w:hint="eastAsia"/>
          <w:b/>
          <w:sz w:val="21"/>
          <w:szCs w:val="21"/>
          <w:lang w:val="en-US"/>
        </w:rPr>
        <w:t>磋商方法</w:t>
      </w:r>
    </w:p>
    <w:p>
      <w:pPr>
        <w:spacing w:before="60" w:beforeLines="25" w:after="60" w:afterLines="25" w:line="360" w:lineRule="auto"/>
        <w:ind w:firstLine="420" w:firstLineChars="200"/>
        <w:rPr>
          <w:sz w:val="21"/>
          <w:szCs w:val="21"/>
        </w:rPr>
      </w:pPr>
      <w:r>
        <w:rPr>
          <w:rFonts w:hint="eastAsia"/>
          <w:sz w:val="21"/>
          <w:szCs w:val="21"/>
          <w:lang w:val="en-US"/>
        </w:rPr>
        <w:t>本次磋商采用</w:t>
      </w:r>
      <w:r>
        <w:rPr>
          <w:rFonts w:hint="eastAsia"/>
          <w:b/>
          <w:bCs/>
          <w:sz w:val="21"/>
          <w:szCs w:val="21"/>
          <w:u w:val="thick"/>
          <w:lang w:val="en-US"/>
        </w:rPr>
        <w:t>综合评分法</w:t>
      </w:r>
      <w:r>
        <w:rPr>
          <w:rFonts w:hint="eastAsia"/>
          <w:sz w:val="21"/>
          <w:szCs w:val="21"/>
          <w:lang w:val="en-US"/>
        </w:rPr>
        <w:t>，其中商务评分占</w:t>
      </w:r>
      <w:r>
        <w:rPr>
          <w:b/>
          <w:bCs/>
          <w:sz w:val="21"/>
          <w:szCs w:val="21"/>
          <w:u w:val="thick"/>
          <w:lang w:val="en-US"/>
        </w:rPr>
        <w:t>30</w:t>
      </w:r>
      <w:r>
        <w:rPr>
          <w:rFonts w:hint="eastAsia"/>
          <w:sz w:val="21"/>
          <w:szCs w:val="21"/>
          <w:lang w:val="en-US"/>
        </w:rPr>
        <w:t>分、技术评分占</w:t>
      </w:r>
      <w:r>
        <w:rPr>
          <w:b/>
          <w:bCs/>
          <w:sz w:val="21"/>
          <w:szCs w:val="21"/>
          <w:u w:val="thick"/>
          <w:lang w:val="en-US"/>
        </w:rPr>
        <w:t>40</w:t>
      </w:r>
      <w:r>
        <w:rPr>
          <w:rFonts w:hint="eastAsia"/>
          <w:sz w:val="21"/>
          <w:szCs w:val="21"/>
          <w:lang w:val="en-US"/>
        </w:rPr>
        <w:t>分，价格评分占</w:t>
      </w:r>
      <w:r>
        <w:rPr>
          <w:b/>
          <w:bCs/>
          <w:sz w:val="21"/>
          <w:szCs w:val="21"/>
          <w:u w:val="thick"/>
          <w:lang w:val="en-US"/>
        </w:rPr>
        <w:t>30</w:t>
      </w:r>
      <w:r>
        <w:rPr>
          <w:rFonts w:hint="eastAsia"/>
          <w:sz w:val="21"/>
          <w:szCs w:val="21"/>
          <w:lang w:val="en-US"/>
        </w:rPr>
        <w:t>分。根据各响应供应商的商务、技术及价格得分，计算出响应供应商的综合得分，磋商小组按综合得分由高到低的原则进行排序，推荐综合得分排序最高的响应供应商为第一成交候选人，依此类推。</w:t>
      </w:r>
    </w:p>
    <w:p>
      <w:pPr>
        <w:spacing w:before="60" w:beforeLines="25" w:after="60" w:afterLines="25" w:line="360" w:lineRule="auto"/>
        <w:rPr>
          <w:b/>
          <w:sz w:val="21"/>
          <w:szCs w:val="21"/>
        </w:rPr>
      </w:pPr>
      <w:r>
        <w:rPr>
          <w:b/>
          <w:sz w:val="21"/>
          <w:szCs w:val="21"/>
          <w:lang w:val="en-US"/>
        </w:rPr>
        <w:t xml:space="preserve">17. </w:t>
      </w:r>
      <w:r>
        <w:rPr>
          <w:rFonts w:hint="eastAsia"/>
          <w:b/>
          <w:sz w:val="21"/>
          <w:szCs w:val="21"/>
          <w:lang w:val="en-US"/>
        </w:rPr>
        <w:t>磋商步骤</w:t>
      </w:r>
    </w:p>
    <w:p>
      <w:pPr>
        <w:spacing w:before="60" w:beforeLines="25" w:after="60" w:afterLines="25" w:line="360" w:lineRule="auto"/>
        <w:ind w:firstLine="420" w:firstLineChars="200"/>
        <w:rPr>
          <w:sz w:val="21"/>
          <w:szCs w:val="21"/>
        </w:rPr>
      </w:pPr>
      <w:r>
        <w:rPr>
          <w:rFonts w:hint="eastAsia"/>
          <w:sz w:val="21"/>
          <w:szCs w:val="21"/>
          <w:lang w:val="en-US"/>
        </w:rPr>
        <w:t>磋商小组对响应文件的评审分为初审、磋商、最后报价、综合评分、推荐成交供应商名单：</w:t>
      </w:r>
    </w:p>
    <w:p>
      <w:pPr>
        <w:spacing w:before="60" w:beforeLines="25" w:after="60" w:afterLines="25" w:line="360" w:lineRule="auto"/>
        <w:rPr>
          <w:sz w:val="21"/>
          <w:szCs w:val="21"/>
        </w:rPr>
      </w:pPr>
      <w:r>
        <w:rPr>
          <w:sz w:val="21"/>
          <w:szCs w:val="21"/>
          <w:lang w:val="en-US"/>
        </w:rPr>
        <w:t xml:space="preserve">17.1 </w:t>
      </w:r>
      <w:r>
        <w:rPr>
          <w:rFonts w:hint="eastAsia"/>
          <w:sz w:val="21"/>
          <w:szCs w:val="21"/>
          <w:lang w:val="en-US"/>
        </w:rPr>
        <w:t>初审</w:t>
      </w:r>
    </w:p>
    <w:p>
      <w:pPr>
        <w:spacing w:before="60" w:beforeLines="25" w:after="60" w:afterLines="25" w:line="360" w:lineRule="auto"/>
        <w:ind w:firstLine="420" w:firstLineChars="200"/>
        <w:rPr>
          <w:sz w:val="21"/>
          <w:szCs w:val="21"/>
          <w:lang w:val="en-US"/>
        </w:rPr>
      </w:pPr>
      <w:r>
        <w:rPr>
          <w:rFonts w:hint="eastAsia"/>
          <w:sz w:val="21"/>
          <w:szCs w:val="21"/>
          <w:lang w:val="en-US"/>
        </w:rPr>
        <w:t>磋商小组依据竞争性磋商文件的规定，从响应文件的有效性、完整性和对磋商文件的响应程度进行审查，以确定供应商所递交的响应文件是否对磋商文件的实质性要求作出响应，磋商小组判定响应文件的响应性只根据响应文件本身的内容，而不寻找其他外部的证据。（见表一：</w:t>
      </w:r>
      <w:r>
        <w:rPr>
          <w:rFonts w:hint="eastAsia"/>
          <w:sz w:val="21"/>
          <w:szCs w:val="21"/>
        </w:rPr>
        <w:t>资格性和符合性审查表</w:t>
      </w:r>
      <w:r>
        <w:rPr>
          <w:rFonts w:hint="eastAsia"/>
          <w:sz w:val="21"/>
          <w:szCs w:val="21"/>
          <w:lang w:val="en-US"/>
        </w:rPr>
        <w:t>）</w:t>
      </w:r>
    </w:p>
    <w:p>
      <w:pPr>
        <w:spacing w:before="60" w:beforeLines="25" w:after="60" w:afterLines="25" w:line="360" w:lineRule="auto"/>
        <w:ind w:firstLine="420" w:firstLineChars="200"/>
        <w:rPr>
          <w:sz w:val="21"/>
          <w:szCs w:val="21"/>
        </w:rPr>
      </w:pPr>
      <w:r>
        <w:rPr>
          <w:rFonts w:hint="eastAsia"/>
          <w:sz w:val="21"/>
          <w:szCs w:val="21"/>
          <w:lang w:val="en-US"/>
        </w:rPr>
        <w:t>除法律法规规定的情形外，如果本项目的有效响应供应商不足三家，本项目依法终止评审。</w:t>
      </w:r>
    </w:p>
    <w:p>
      <w:pPr>
        <w:spacing w:before="60" w:beforeLines="25" w:after="60" w:afterLines="25" w:line="360" w:lineRule="auto"/>
        <w:rPr>
          <w:sz w:val="21"/>
          <w:szCs w:val="21"/>
        </w:rPr>
      </w:pPr>
      <w:r>
        <w:rPr>
          <w:sz w:val="21"/>
          <w:szCs w:val="21"/>
          <w:lang w:val="en-US"/>
        </w:rPr>
        <w:t xml:space="preserve">17.2 </w:t>
      </w:r>
      <w:r>
        <w:rPr>
          <w:rFonts w:hint="eastAsia"/>
          <w:sz w:val="21"/>
          <w:szCs w:val="21"/>
          <w:lang w:val="en-US"/>
        </w:rPr>
        <w:t>磋商</w:t>
      </w:r>
    </w:p>
    <w:p>
      <w:pPr>
        <w:spacing w:before="60" w:beforeLines="25" w:after="60" w:afterLines="25" w:line="360" w:lineRule="auto"/>
        <w:ind w:firstLine="420" w:firstLineChars="200"/>
        <w:rPr>
          <w:sz w:val="21"/>
          <w:szCs w:val="21"/>
        </w:rPr>
      </w:pPr>
      <w:r>
        <w:rPr>
          <w:rFonts w:hint="eastAsia"/>
          <w:sz w:val="21"/>
          <w:szCs w:val="21"/>
          <w:lang w:val="en-US"/>
        </w:rPr>
        <w:t>磋商小组所有成员应当集中与单一供应商分别进行磋商，并给予所有参加磋商的供应商平等的磋商机会。</w:t>
      </w:r>
    </w:p>
    <w:p>
      <w:pPr>
        <w:spacing w:before="60" w:beforeLines="25" w:after="60" w:afterLines="25" w:line="360" w:lineRule="auto"/>
        <w:rPr>
          <w:sz w:val="21"/>
          <w:szCs w:val="21"/>
        </w:rPr>
      </w:pPr>
      <w:r>
        <w:rPr>
          <w:sz w:val="21"/>
          <w:szCs w:val="21"/>
          <w:lang w:val="en-US"/>
        </w:rPr>
        <w:t xml:space="preserve">17.3 </w:t>
      </w:r>
      <w:r>
        <w:rPr>
          <w:rFonts w:hint="eastAsia"/>
          <w:sz w:val="21"/>
          <w:szCs w:val="21"/>
          <w:lang w:val="en-US"/>
        </w:rPr>
        <w:t>最后报价</w:t>
      </w:r>
    </w:p>
    <w:p>
      <w:pPr>
        <w:spacing w:before="60" w:beforeLines="25" w:after="60" w:afterLines="25" w:line="360" w:lineRule="auto"/>
        <w:ind w:left="735" w:hanging="735" w:hangingChars="350"/>
        <w:rPr>
          <w:sz w:val="21"/>
          <w:szCs w:val="21"/>
        </w:rPr>
      </w:pPr>
      <w:r>
        <w:rPr>
          <w:sz w:val="21"/>
          <w:szCs w:val="21"/>
          <w:lang w:val="en-US"/>
        </w:rPr>
        <w:t xml:space="preserve">17.3.1 </w:t>
      </w:r>
      <w:r>
        <w:rPr>
          <w:rFonts w:hint="eastAsia"/>
          <w:sz w:val="21"/>
          <w:szCs w:val="21"/>
          <w:lang w:val="en-US"/>
        </w:rPr>
        <w:t>磋商文件能够详细列明采购标的的技术、服务要求的，磋商结束后，磋商小组应当要求所有实质性响应的供应商在规定时间内提交最后报价，提交最后报价的供应商不得少于</w:t>
      </w:r>
      <w:r>
        <w:rPr>
          <w:sz w:val="21"/>
          <w:szCs w:val="21"/>
          <w:lang w:val="en-US"/>
        </w:rPr>
        <w:t>3家。</w:t>
      </w:r>
    </w:p>
    <w:p>
      <w:pPr>
        <w:spacing w:before="60" w:beforeLines="25" w:after="60" w:afterLines="25" w:line="360" w:lineRule="auto"/>
        <w:ind w:left="735" w:hanging="735" w:hangingChars="350"/>
        <w:rPr>
          <w:sz w:val="21"/>
          <w:szCs w:val="21"/>
        </w:rPr>
      </w:pPr>
      <w:r>
        <w:rPr>
          <w:sz w:val="21"/>
          <w:szCs w:val="21"/>
          <w:lang w:val="en-US"/>
        </w:rPr>
        <w:t xml:space="preserve">17.3.2 </w:t>
      </w:r>
      <w:r>
        <w:rPr>
          <w:rFonts w:hint="eastAsia"/>
          <w:sz w:val="21"/>
          <w:szCs w:val="21"/>
          <w:lang w:val="en-US"/>
        </w:rPr>
        <w:t>磋商文件不能详细列明采购标的的技术、服务要求，需经磋商供应商提供最终设计方案或解决方案的，磋商结束后，磋商小组应当按照少数服从多数的原则投票推荐</w:t>
      </w:r>
      <w:r>
        <w:rPr>
          <w:sz w:val="21"/>
          <w:szCs w:val="21"/>
          <w:lang w:val="en-US"/>
        </w:rPr>
        <w:t>3家以上供应商的设计方案或者解决方案，并要求其在规定时间内提交最后报价。</w:t>
      </w:r>
    </w:p>
    <w:p>
      <w:pPr>
        <w:spacing w:before="60" w:beforeLines="25" w:after="60" w:afterLines="25" w:line="360" w:lineRule="auto"/>
        <w:rPr>
          <w:sz w:val="21"/>
          <w:szCs w:val="21"/>
        </w:rPr>
      </w:pPr>
      <w:r>
        <w:rPr>
          <w:sz w:val="21"/>
          <w:szCs w:val="21"/>
          <w:lang w:val="en-US"/>
        </w:rPr>
        <w:t xml:space="preserve">17.3.3 </w:t>
      </w:r>
      <w:r>
        <w:rPr>
          <w:rFonts w:hint="eastAsia"/>
          <w:sz w:val="21"/>
          <w:szCs w:val="21"/>
          <w:lang w:val="en-US"/>
        </w:rPr>
        <w:t>最后报价是供应商响应文件的有效组成部分。</w:t>
      </w:r>
    </w:p>
    <w:p>
      <w:pPr>
        <w:spacing w:before="60" w:beforeLines="25" w:after="60" w:afterLines="25" w:line="360" w:lineRule="auto"/>
        <w:rPr>
          <w:sz w:val="21"/>
          <w:szCs w:val="21"/>
        </w:rPr>
      </w:pPr>
      <w:r>
        <w:rPr>
          <w:sz w:val="21"/>
          <w:szCs w:val="21"/>
          <w:lang w:val="en-US"/>
        </w:rPr>
        <w:t xml:space="preserve">17.4 </w:t>
      </w:r>
      <w:r>
        <w:rPr>
          <w:rFonts w:hint="eastAsia"/>
          <w:sz w:val="21"/>
          <w:szCs w:val="21"/>
          <w:lang w:val="en-US"/>
        </w:rPr>
        <w:t>综合评分</w:t>
      </w:r>
    </w:p>
    <w:p>
      <w:pPr>
        <w:spacing w:before="60" w:beforeLines="25" w:after="60" w:afterLines="25" w:line="360" w:lineRule="auto"/>
        <w:ind w:firstLine="420" w:firstLineChars="200"/>
        <w:rPr>
          <w:sz w:val="21"/>
          <w:szCs w:val="21"/>
        </w:rPr>
      </w:pPr>
      <w:r>
        <w:rPr>
          <w:rFonts w:hint="eastAsia"/>
          <w:sz w:val="21"/>
          <w:szCs w:val="21"/>
          <w:lang w:val="en-US"/>
        </w:rPr>
        <w:t>经磋商确定最终采购需求和提交最后报价的供应商后，由磋商小组采用综合评分法对提交最后报价的供应商的响应文件和最后报价进行综合评分。</w:t>
      </w:r>
    </w:p>
    <w:p>
      <w:pPr>
        <w:spacing w:before="60" w:beforeLines="25" w:after="60" w:afterLines="25" w:line="360" w:lineRule="auto"/>
        <w:ind w:firstLine="420" w:firstLineChars="200"/>
        <w:rPr>
          <w:sz w:val="21"/>
          <w:szCs w:val="21"/>
        </w:rPr>
      </w:pPr>
      <w:r>
        <w:rPr>
          <w:rFonts w:hint="eastAsia"/>
          <w:sz w:val="21"/>
          <w:szCs w:val="21"/>
          <w:lang w:val="en-US"/>
        </w:rPr>
        <w:t>综合评分是磋商小组依据磋商文件的商务、技术评审表逐条进行评审。</w:t>
      </w:r>
    </w:p>
    <w:p>
      <w:pPr>
        <w:spacing w:before="60" w:beforeLines="25" w:after="60" w:afterLines="25" w:line="360" w:lineRule="auto"/>
        <w:ind w:firstLine="420" w:firstLineChars="200"/>
        <w:rPr>
          <w:sz w:val="21"/>
          <w:szCs w:val="21"/>
        </w:rPr>
      </w:pPr>
      <w:r>
        <w:rPr>
          <w:sz w:val="21"/>
          <w:szCs w:val="21"/>
          <w:lang w:val="en-US"/>
        </w:rPr>
        <w:t>1、商务评审：由磋商小组对所有有效响应文件的商务条件进行审核和分析，填写《商务评审表》。评审内容见表二《商务评审表》。</w:t>
      </w:r>
    </w:p>
    <w:p>
      <w:pPr>
        <w:spacing w:before="60" w:beforeLines="25" w:after="60" w:afterLines="25" w:line="360" w:lineRule="auto"/>
        <w:ind w:firstLine="420" w:firstLineChars="200"/>
        <w:rPr>
          <w:sz w:val="21"/>
          <w:szCs w:val="21"/>
        </w:rPr>
      </w:pPr>
      <w:r>
        <w:rPr>
          <w:sz w:val="21"/>
          <w:szCs w:val="21"/>
          <w:lang w:val="en-US"/>
        </w:rPr>
        <w:t>2、技术评审：由磋商小组对所有有效响应文件的技术响应方案进行审核和评价，填写《技术评审表》，评审内容见表三《技术评审表》。</w:t>
      </w:r>
    </w:p>
    <w:p>
      <w:pPr>
        <w:spacing w:before="60" w:beforeLines="25" w:after="60" w:afterLines="25" w:line="360" w:lineRule="auto"/>
        <w:ind w:firstLine="420" w:firstLineChars="200"/>
        <w:rPr>
          <w:sz w:val="21"/>
          <w:szCs w:val="21"/>
        </w:rPr>
      </w:pPr>
      <w:r>
        <w:rPr>
          <w:sz w:val="21"/>
          <w:szCs w:val="21"/>
          <w:lang w:val="en-US"/>
        </w:rPr>
        <w:t>3、价格得分：</w:t>
      </w:r>
    </w:p>
    <w:p>
      <w:pPr>
        <w:spacing w:before="60" w:beforeLines="25" w:after="60" w:afterLines="25" w:line="360" w:lineRule="auto"/>
        <w:ind w:firstLine="420" w:firstLineChars="200"/>
        <w:rPr>
          <w:sz w:val="21"/>
          <w:szCs w:val="21"/>
        </w:rPr>
      </w:pPr>
      <w:r>
        <w:rPr>
          <w:rFonts w:hint="eastAsia"/>
          <w:sz w:val="21"/>
          <w:szCs w:val="21"/>
          <w:lang w:val="en-US"/>
        </w:rPr>
        <w:t>（</w:t>
      </w:r>
      <w:r>
        <w:rPr>
          <w:sz w:val="21"/>
          <w:szCs w:val="21"/>
          <w:lang w:val="en-US"/>
        </w:rPr>
        <w:t>1）价格核准：磋商小组对有效响应供应商的详细报价进行复核。</w:t>
      </w:r>
    </w:p>
    <w:p>
      <w:pPr>
        <w:spacing w:before="60" w:beforeLines="25" w:after="60" w:afterLines="25" w:line="360" w:lineRule="auto"/>
        <w:ind w:firstLine="420" w:firstLineChars="200"/>
        <w:rPr>
          <w:sz w:val="21"/>
          <w:szCs w:val="21"/>
        </w:rPr>
      </w:pPr>
      <w:r>
        <w:rPr>
          <w:rFonts w:hint="eastAsia"/>
          <w:sz w:val="21"/>
          <w:szCs w:val="21"/>
          <w:lang w:val="en-US"/>
        </w:rPr>
        <w:t>（</w:t>
      </w:r>
      <w:r>
        <w:rPr>
          <w:sz w:val="21"/>
          <w:szCs w:val="21"/>
          <w:lang w:val="en-US"/>
        </w:rPr>
        <w:t>2）小型和微型企业产品价格扣除。</w:t>
      </w:r>
    </w:p>
    <w:p>
      <w:pPr>
        <w:spacing w:before="25" w:after="25" w:line="360" w:lineRule="auto"/>
        <w:ind w:firstLine="420" w:firstLineChars="200"/>
        <w:rPr>
          <w:sz w:val="21"/>
          <w:szCs w:val="21"/>
        </w:rPr>
      </w:pPr>
      <w:r>
        <w:rPr>
          <w:sz w:val="21"/>
          <w:szCs w:val="21"/>
        </w:rPr>
        <w:t>a.根据财务部、工业和信息化部印发的</w:t>
      </w:r>
      <w:r>
        <w:rPr>
          <w:rFonts w:hint="eastAsia"/>
          <w:sz w:val="21"/>
          <w:szCs w:val="21"/>
          <w:lang w:val="en-US"/>
        </w:rPr>
        <w:t>《政府采购促进中小企业发展管理办法》（财库﹝</w:t>
      </w:r>
      <w:r>
        <w:rPr>
          <w:sz w:val="21"/>
          <w:szCs w:val="21"/>
          <w:lang w:val="en-US"/>
        </w:rPr>
        <w:t xml:space="preserve">2020﹞46 </w:t>
      </w:r>
      <w:r>
        <w:rPr>
          <w:rFonts w:hint="eastAsia"/>
          <w:sz w:val="21"/>
          <w:szCs w:val="21"/>
          <w:lang w:val="en-US"/>
        </w:rPr>
        <w:t>号）的规定</w:t>
      </w:r>
      <w:r>
        <w:rPr>
          <w:rFonts w:hint="eastAsia"/>
          <w:sz w:val="21"/>
          <w:szCs w:val="21"/>
        </w:rPr>
        <w:t>，对小型和微型企业产品的价格给予</w:t>
      </w:r>
      <w:r>
        <w:rPr>
          <w:sz w:val="21"/>
          <w:szCs w:val="21"/>
          <w:lang w:val="en-US"/>
        </w:rPr>
        <w:t>5</w:t>
      </w:r>
      <w:r>
        <w:rPr>
          <w:sz w:val="21"/>
          <w:szCs w:val="21"/>
        </w:rPr>
        <w:t>%的扣除，用扣除后的价格参与评审。</w:t>
      </w:r>
    </w:p>
    <w:p>
      <w:pPr>
        <w:spacing w:before="25" w:after="25" w:line="360" w:lineRule="auto"/>
        <w:ind w:firstLine="420" w:firstLineChars="200"/>
        <w:rPr>
          <w:sz w:val="21"/>
          <w:szCs w:val="21"/>
        </w:rPr>
      </w:pPr>
      <w:r>
        <w:rPr>
          <w:sz w:val="21"/>
          <w:szCs w:val="21"/>
        </w:rPr>
        <w:t>b.</w:t>
      </w:r>
      <w:r>
        <w:rPr>
          <w:rFonts w:hint="eastAsia"/>
          <w:sz w:val="21"/>
          <w:szCs w:val="21"/>
          <w:lang w:val="en-US"/>
        </w:rPr>
        <w:t>《政府采购促进中小企业发展管理办法》</w:t>
      </w:r>
      <w:r>
        <w:rPr>
          <w:rFonts w:hint="eastAsia"/>
          <w:sz w:val="21"/>
          <w:szCs w:val="21"/>
        </w:rPr>
        <w:t>所称中小企业（含中型、小型、微型企业，下同）应当符合以下条件：</w:t>
      </w:r>
    </w:p>
    <w:p>
      <w:pPr>
        <w:spacing w:before="25" w:after="25" w:line="360" w:lineRule="auto"/>
        <w:ind w:firstLine="420" w:firstLineChars="200"/>
        <w:rPr>
          <w:sz w:val="21"/>
          <w:szCs w:val="21"/>
        </w:rPr>
      </w:pPr>
      <w:r>
        <w:rPr>
          <w:rFonts w:hint="eastAsia"/>
          <w:sz w:val="21"/>
          <w:szCs w:val="21"/>
          <w:lang w:val="en-US"/>
        </w:rPr>
        <w:t>（一）在货物采购项目中，货物由中小企业制造，即货物由中小企业生产且使用该中小企业商号或者注册商标；</w:t>
      </w:r>
    </w:p>
    <w:p>
      <w:pPr>
        <w:spacing w:before="25" w:after="25" w:line="360" w:lineRule="auto"/>
        <w:ind w:firstLine="420" w:firstLineChars="200"/>
        <w:rPr>
          <w:sz w:val="21"/>
          <w:szCs w:val="21"/>
        </w:rPr>
      </w:pPr>
      <w:r>
        <w:rPr>
          <w:rFonts w:hint="eastAsia"/>
          <w:sz w:val="21"/>
          <w:szCs w:val="21"/>
          <w:lang w:val="en-US"/>
        </w:rPr>
        <w:t>（二）在工程采购项目中，工程由中小企业承建，即工程施工单位为中小企业；</w:t>
      </w:r>
    </w:p>
    <w:p>
      <w:pPr>
        <w:spacing w:before="25" w:after="25" w:line="360" w:lineRule="auto"/>
        <w:ind w:firstLine="420" w:firstLineChars="200"/>
        <w:rPr>
          <w:sz w:val="21"/>
          <w:szCs w:val="21"/>
        </w:rPr>
      </w:pPr>
      <w:r>
        <w:rPr>
          <w:rFonts w:hint="eastAsia"/>
          <w:sz w:val="21"/>
          <w:szCs w:val="21"/>
          <w:lang w:val="en-US"/>
        </w:rPr>
        <w:t>（三）在服务采购项目中，服务由中小企业承接，即提供服务的人员为中小企业依照《中华人民共和国劳动合同法》订立劳动合同的从业人员。</w:t>
      </w:r>
    </w:p>
    <w:p>
      <w:pPr>
        <w:spacing w:before="25" w:after="25" w:line="360" w:lineRule="auto"/>
        <w:ind w:firstLine="420" w:firstLineChars="200"/>
        <w:rPr>
          <w:sz w:val="21"/>
          <w:szCs w:val="21"/>
        </w:rPr>
      </w:pPr>
      <w:r>
        <w:rPr>
          <w:rFonts w:hint="eastAsia"/>
          <w:sz w:val="21"/>
          <w:szCs w:val="21"/>
          <w:lang w:val="en-US"/>
        </w:rPr>
        <w:t>在货物采购项目中，供应商提供的货物既有中小企业制造货物，也有大型企业制造货物的，不享受本办法规定的中小企业扶持政策。</w:t>
      </w:r>
    </w:p>
    <w:p>
      <w:pPr>
        <w:spacing w:before="25" w:after="25" w:line="360" w:lineRule="auto"/>
        <w:ind w:firstLine="420" w:firstLineChars="200"/>
        <w:rPr>
          <w:sz w:val="21"/>
          <w:szCs w:val="21"/>
        </w:rPr>
      </w:pPr>
      <w:r>
        <w:rPr>
          <w:rFonts w:hint="eastAsia"/>
          <w:sz w:val="21"/>
          <w:szCs w:val="21"/>
        </w:rPr>
        <w:t>中小企业划分标准以《工业和信息化部、国家统计局、国家发展和改革委员会、财政部关于印发中小企业划型标准的通知》（工信部联企业</w:t>
      </w:r>
      <w:r>
        <w:rPr>
          <w:sz w:val="21"/>
          <w:szCs w:val="21"/>
        </w:rPr>
        <w:t>[2011]300号）规定的划分标准为准。小型、微型企业提供中型企业制造的货物的，视同为中型企业。</w:t>
      </w:r>
    </w:p>
    <w:p>
      <w:pPr>
        <w:spacing w:before="25" w:after="25" w:line="360" w:lineRule="auto"/>
        <w:ind w:firstLine="420" w:firstLineChars="200"/>
        <w:rPr>
          <w:sz w:val="21"/>
          <w:szCs w:val="21"/>
        </w:rPr>
      </w:pPr>
      <w:r>
        <w:rPr>
          <w:rFonts w:hint="eastAsia"/>
          <w:sz w:val="21"/>
          <w:szCs w:val="21"/>
        </w:rPr>
        <w:t>（</w:t>
      </w:r>
      <w:r>
        <w:rPr>
          <w:rFonts w:hint="eastAsia"/>
          <w:sz w:val="21"/>
          <w:szCs w:val="21"/>
          <w:lang w:val="en-US"/>
        </w:rPr>
        <w:t>四</w:t>
      </w:r>
      <w:r>
        <w:rPr>
          <w:rFonts w:hint="eastAsia"/>
          <w:sz w:val="21"/>
          <w:szCs w:val="21"/>
        </w:rPr>
        <w:t>）参加采购活动的中小企业应当提供《中小企业声明函》。</w:t>
      </w:r>
    </w:p>
    <w:p>
      <w:pPr>
        <w:tabs>
          <w:tab w:val="left" w:pos="1308"/>
        </w:tabs>
        <w:spacing w:before="25" w:after="60" w:afterLines="25" w:line="360" w:lineRule="auto"/>
        <w:ind w:firstLine="408" w:firstLineChars="200"/>
        <w:rPr>
          <w:sz w:val="21"/>
          <w:szCs w:val="21"/>
        </w:rPr>
      </w:pPr>
      <w:r>
        <w:rPr>
          <w:spacing w:val="-3"/>
          <w:sz w:val="21"/>
          <w:szCs w:val="21"/>
          <w:lang w:val="en-US"/>
        </w:rPr>
        <w:t>(3)残疾人福利性单位价格扣除</w:t>
      </w:r>
    </w:p>
    <w:p>
      <w:pPr>
        <w:spacing w:before="25" w:after="25" w:line="360" w:lineRule="auto"/>
        <w:ind w:firstLine="420" w:firstLineChars="200"/>
        <w:rPr>
          <w:sz w:val="21"/>
          <w:szCs w:val="21"/>
        </w:rPr>
      </w:pPr>
      <w:r>
        <w:rPr>
          <w:sz w:val="21"/>
          <w:szCs w:val="21"/>
          <w:lang w:val="en-US"/>
        </w:rPr>
        <w:t xml:space="preserve">a.根据《财政部 </w:t>
      </w:r>
      <w:r>
        <w:rPr>
          <w:rFonts w:hint="eastAsia"/>
          <w:sz w:val="21"/>
          <w:szCs w:val="21"/>
          <w:lang w:val="en-US"/>
        </w:rPr>
        <w:t>民政部</w:t>
      </w:r>
      <w:r>
        <w:rPr>
          <w:sz w:val="21"/>
          <w:szCs w:val="21"/>
          <w:lang w:val="en-US"/>
        </w:rPr>
        <w:t xml:space="preserve"> </w:t>
      </w:r>
      <w:r>
        <w:rPr>
          <w:rFonts w:hint="eastAsia"/>
          <w:sz w:val="21"/>
          <w:szCs w:val="21"/>
          <w:lang w:val="en-US"/>
        </w:rPr>
        <w:t>中国残疾人联合会关于促进残疾人就业政府采购政策的通知》（财库〔</w:t>
      </w:r>
      <w:r>
        <w:rPr>
          <w:sz w:val="21"/>
          <w:szCs w:val="21"/>
          <w:lang w:val="en-US"/>
        </w:rPr>
        <w:t xml:space="preserve">2017〕141 </w:t>
      </w:r>
      <w:r>
        <w:rPr>
          <w:rFonts w:hint="eastAsia"/>
          <w:sz w:val="21"/>
          <w:szCs w:val="21"/>
          <w:lang w:val="en-US"/>
        </w:rPr>
        <w:t>号）的规定，对残疾人福利性单位的价格给予</w:t>
      </w:r>
      <w:r>
        <w:rPr>
          <w:sz w:val="21"/>
          <w:szCs w:val="21"/>
          <w:lang w:val="en-US"/>
        </w:rPr>
        <w:t>5%的扣除，用扣除后的价格参与评审。</w:t>
      </w:r>
    </w:p>
    <w:p>
      <w:pPr>
        <w:spacing w:before="25" w:after="25" w:line="360" w:lineRule="auto"/>
        <w:ind w:firstLine="420" w:firstLineChars="200"/>
        <w:rPr>
          <w:sz w:val="21"/>
          <w:szCs w:val="21"/>
        </w:rPr>
      </w:pPr>
      <w:r>
        <w:rPr>
          <w:sz w:val="21"/>
          <w:szCs w:val="21"/>
          <w:lang w:val="en-US"/>
        </w:rPr>
        <w:t>b.享受采购支持政策的残疾人福利性单位应当同时满足以下条件：</w:t>
      </w:r>
    </w:p>
    <w:p>
      <w:pPr>
        <w:spacing w:before="25" w:after="25" w:line="360" w:lineRule="auto"/>
        <w:ind w:firstLine="420" w:firstLineChars="200"/>
        <w:rPr>
          <w:sz w:val="21"/>
          <w:szCs w:val="21"/>
        </w:rPr>
      </w:pPr>
      <w:r>
        <w:rPr>
          <w:rFonts w:hint="eastAsia"/>
          <w:sz w:val="21"/>
          <w:szCs w:val="21"/>
          <w:lang w:val="en-US"/>
        </w:rPr>
        <w:t>①安置的残疾人占本单位在职职工人数的比例不低于</w:t>
      </w:r>
      <w:r>
        <w:rPr>
          <w:sz w:val="21"/>
          <w:szCs w:val="21"/>
          <w:lang w:val="en-US"/>
        </w:rPr>
        <w:t>25%（含 25%），并且安置的残疾人人数不少于10人（含10人）；</w:t>
      </w:r>
    </w:p>
    <w:p>
      <w:pPr>
        <w:spacing w:before="25" w:after="25" w:line="360" w:lineRule="auto"/>
        <w:ind w:firstLine="420" w:firstLineChars="200"/>
        <w:rPr>
          <w:sz w:val="21"/>
          <w:szCs w:val="21"/>
        </w:rPr>
      </w:pPr>
      <w:r>
        <w:rPr>
          <w:rFonts w:hint="eastAsia"/>
          <w:sz w:val="21"/>
          <w:szCs w:val="21"/>
          <w:lang w:val="en-US"/>
        </w:rPr>
        <w:t>②依法与安置的每位残疾人签订了一年以上（含一年）的劳动合同或服务协议；</w:t>
      </w:r>
    </w:p>
    <w:p>
      <w:pPr>
        <w:spacing w:before="25" w:after="25" w:line="360" w:lineRule="auto"/>
        <w:ind w:firstLine="420" w:firstLineChars="200"/>
        <w:rPr>
          <w:sz w:val="21"/>
          <w:szCs w:val="21"/>
        </w:rPr>
      </w:pPr>
      <w:r>
        <w:rPr>
          <w:rFonts w:hint="eastAsia"/>
          <w:sz w:val="21"/>
          <w:szCs w:val="21"/>
          <w:lang w:val="en-US"/>
        </w:rPr>
        <w:t>③为安置的每位残疾人按月足额缴纳了基本养老保险、基本医疗保险、失业保险、工伤保险和生育保险等社会保险费；</w:t>
      </w:r>
    </w:p>
    <w:p>
      <w:pPr>
        <w:spacing w:before="25" w:after="25" w:line="360" w:lineRule="auto"/>
        <w:ind w:firstLine="420" w:firstLineChars="200"/>
        <w:rPr>
          <w:sz w:val="21"/>
          <w:szCs w:val="21"/>
        </w:rPr>
      </w:pPr>
      <w:r>
        <w:rPr>
          <w:rFonts w:hint="eastAsia"/>
          <w:sz w:val="21"/>
          <w:szCs w:val="21"/>
          <w:lang w:val="en-US"/>
        </w:rPr>
        <w:t>④通过银行等金融机构向安置的每位残疾人，按月支付了不低于单位所在区县适用的经省级人民政府批准的月最低工资标准的工资；</w:t>
      </w:r>
    </w:p>
    <w:p>
      <w:pPr>
        <w:spacing w:before="25" w:after="25" w:line="360" w:lineRule="auto"/>
        <w:ind w:firstLine="420" w:firstLineChars="200"/>
        <w:rPr>
          <w:sz w:val="21"/>
          <w:szCs w:val="21"/>
        </w:rPr>
      </w:pPr>
      <w:r>
        <w:rPr>
          <w:rFonts w:hint="eastAsia"/>
          <w:sz w:val="21"/>
          <w:szCs w:val="21"/>
          <w:lang w:val="en-US"/>
        </w:rPr>
        <w:t>⑤提供本单位制造的货物、承担的工程或者服务（以下简称产品），或者提供其他残疾人福利性单位制造的货物（不包括使用非残疾人福利性单位注册商标的货物）。</w:t>
      </w:r>
    </w:p>
    <w:p>
      <w:pPr>
        <w:spacing w:before="25" w:after="25" w:line="360" w:lineRule="auto"/>
        <w:ind w:firstLine="420" w:firstLineChars="200"/>
        <w:rPr>
          <w:sz w:val="21"/>
          <w:szCs w:val="21"/>
        </w:rPr>
      </w:pPr>
      <w:r>
        <w:rPr>
          <w:rFonts w:hint="eastAsia"/>
          <w:sz w:val="21"/>
          <w:szCs w:val="21"/>
          <w:lang w:val="en-US"/>
        </w:rPr>
        <w:t>⑥前款所称残疾人是指法定劳动年龄内，持有《中华人民共和国残疾人证》或者《中华人民共和国残疾军人证（</w:t>
      </w:r>
      <w:r>
        <w:rPr>
          <w:sz w:val="21"/>
          <w:szCs w:val="21"/>
          <w:lang w:val="en-US"/>
        </w:rPr>
        <w:t>1至8级）》的自然人，包括具有劳动条件和劳动意愿的精神残疾人。在职职工人数是指与残疾人福利性单位建立劳动关系并依法签订劳动合同或者服务协议的雇员人数。</w:t>
      </w:r>
    </w:p>
    <w:p>
      <w:pPr>
        <w:spacing w:before="25" w:after="25" w:line="360" w:lineRule="auto"/>
        <w:ind w:firstLine="420" w:firstLineChars="200"/>
        <w:rPr>
          <w:sz w:val="21"/>
          <w:szCs w:val="21"/>
        </w:rPr>
      </w:pPr>
      <w:r>
        <w:rPr>
          <w:rFonts w:hint="eastAsia"/>
          <w:sz w:val="21"/>
          <w:szCs w:val="21"/>
          <w:lang w:val="en-US"/>
        </w:rPr>
        <w:t>⑦参加采购活动的残疾人福利性单位应当提供《残疾人福利性单位声明函》。</w:t>
      </w:r>
    </w:p>
    <w:p>
      <w:pPr>
        <w:spacing w:before="25" w:after="25" w:line="360" w:lineRule="auto"/>
        <w:ind w:firstLine="420" w:firstLineChars="200"/>
        <w:rPr>
          <w:sz w:val="21"/>
          <w:szCs w:val="21"/>
        </w:rPr>
      </w:pPr>
      <w:r>
        <w:rPr>
          <w:rFonts w:hint="eastAsia"/>
          <w:sz w:val="21"/>
          <w:szCs w:val="21"/>
          <w:lang w:val="en-US"/>
        </w:rPr>
        <w:t>注：在采购活动中，残疾人福利性单位视同小型、微型企业，享受预留份额、评审中价格扣除等促进中小企业发展的采购政策。向残疾人福利性单位采购的金额，计入面向中小企业采购的统计数据。残疾人福利性单位属于小型、微型企业的，不重复享受政策。</w:t>
      </w:r>
    </w:p>
    <w:p>
      <w:pPr>
        <w:spacing w:before="25" w:after="25" w:line="360" w:lineRule="auto"/>
        <w:ind w:firstLine="420" w:firstLineChars="200"/>
        <w:rPr>
          <w:sz w:val="21"/>
          <w:szCs w:val="21"/>
        </w:rPr>
      </w:pPr>
      <w:r>
        <w:rPr>
          <w:sz w:val="21"/>
          <w:szCs w:val="21"/>
          <w:lang w:val="en-US"/>
        </w:rPr>
        <w:t>(4)监狱企业价格扣除</w:t>
      </w:r>
    </w:p>
    <w:p>
      <w:pPr>
        <w:spacing w:before="25" w:after="25" w:line="360" w:lineRule="auto"/>
        <w:ind w:firstLine="420" w:firstLineChars="200"/>
        <w:rPr>
          <w:sz w:val="21"/>
          <w:szCs w:val="21"/>
        </w:rPr>
      </w:pPr>
      <w:r>
        <w:rPr>
          <w:sz w:val="21"/>
          <w:szCs w:val="21"/>
          <w:lang w:val="en-US"/>
        </w:rPr>
        <w:t xml:space="preserve">a.根据《财政部 </w:t>
      </w:r>
      <w:r>
        <w:rPr>
          <w:rFonts w:hint="eastAsia"/>
          <w:sz w:val="21"/>
          <w:szCs w:val="21"/>
          <w:lang w:val="en-US"/>
        </w:rPr>
        <w:t>司法部关于政府采购支持监狱企业发展有关问题的通知》的规定，对监狱企业的价格给予</w:t>
      </w:r>
      <w:r>
        <w:rPr>
          <w:sz w:val="21"/>
          <w:szCs w:val="21"/>
          <w:lang w:val="en-US"/>
        </w:rPr>
        <w:t>5%的扣除，用扣除后的价格参与评审。</w:t>
      </w:r>
    </w:p>
    <w:p>
      <w:pPr>
        <w:spacing w:before="25" w:after="25" w:line="360" w:lineRule="auto"/>
        <w:ind w:firstLine="420" w:firstLineChars="200"/>
        <w:rPr>
          <w:sz w:val="21"/>
          <w:szCs w:val="21"/>
        </w:rPr>
      </w:pPr>
      <w:r>
        <w:rPr>
          <w:sz w:val="21"/>
          <w:szCs w:val="21"/>
          <w:lang w:val="en-US"/>
        </w:rPr>
        <w:t>b.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采购活动时，应当提供由省级以上监狱管理局、戒毒管理局（含新疆生产建设兵团）出具的属于监狱企业的证明文件。</w:t>
      </w:r>
    </w:p>
    <w:p>
      <w:pPr>
        <w:spacing w:before="25" w:after="25" w:line="360" w:lineRule="auto"/>
        <w:ind w:firstLine="420" w:firstLineChars="200"/>
        <w:rPr>
          <w:sz w:val="21"/>
          <w:szCs w:val="21"/>
        </w:rPr>
      </w:pPr>
      <w:r>
        <w:rPr>
          <w:sz w:val="21"/>
          <w:szCs w:val="21"/>
          <w:lang w:val="en-US"/>
        </w:rPr>
        <w:t>c.在采购活动中，监狱企业视同小型、微型企业，享受预留份额、评审中价格扣除等采购促进中小企业发展的采购政策。向监狱企业采购的金额，计入面向中小企业采购的统计数据。监狱企业属于小型、微型企业的，不重复享受政策。</w:t>
      </w:r>
    </w:p>
    <w:p>
      <w:pPr>
        <w:spacing w:before="25" w:after="25" w:line="360" w:lineRule="auto"/>
        <w:ind w:firstLine="420" w:firstLineChars="200"/>
        <w:rPr>
          <w:sz w:val="21"/>
          <w:szCs w:val="21"/>
        </w:rPr>
      </w:pPr>
      <w:r>
        <w:rPr>
          <w:sz w:val="21"/>
          <w:szCs w:val="21"/>
          <w:lang w:val="en-US"/>
        </w:rPr>
        <w:t>(5)价格评分：价格分统一采用低价优先法计算，即满足竞争性磋商文件要求（通过资格性/符合性审查）且报价最低的磋商价(指修正及价格扣除后报价，下同)为磋商基准价，其价格分为满分。其他响应供</w:t>
      </w:r>
      <w:r>
        <w:rPr>
          <w:rFonts w:hint="eastAsia"/>
          <w:sz w:val="21"/>
          <w:szCs w:val="21"/>
          <w:lang w:val="en-US"/>
        </w:rPr>
        <w:t>应商的价格分统一按照下列公式计算：</w:t>
      </w:r>
    </w:p>
    <w:p>
      <w:pPr>
        <w:spacing w:before="25" w:after="25" w:line="360" w:lineRule="auto"/>
        <w:ind w:firstLine="422" w:firstLineChars="200"/>
        <w:rPr>
          <w:b/>
          <w:sz w:val="21"/>
          <w:szCs w:val="21"/>
        </w:rPr>
      </w:pPr>
      <w:r>
        <w:rPr>
          <w:rFonts w:hint="eastAsia"/>
          <w:b/>
          <w:sz w:val="21"/>
          <w:szCs w:val="21"/>
          <w:lang w:val="en-US"/>
        </w:rPr>
        <w:t>磋商报价得分</w:t>
      </w:r>
      <w:r>
        <w:rPr>
          <w:b/>
          <w:sz w:val="21"/>
          <w:szCs w:val="21"/>
          <w:lang w:val="en-US"/>
        </w:rPr>
        <w:t>=（磋商基准价/最后磋商报价）×价格权重×100</w:t>
      </w:r>
    </w:p>
    <w:p>
      <w:pPr>
        <w:spacing w:before="60" w:beforeLines="25" w:after="60" w:afterLines="25" w:line="360" w:lineRule="auto"/>
        <w:rPr>
          <w:sz w:val="21"/>
          <w:szCs w:val="21"/>
        </w:rPr>
      </w:pPr>
      <w:r>
        <w:rPr>
          <w:sz w:val="21"/>
          <w:szCs w:val="21"/>
          <w:lang w:val="en-US"/>
        </w:rPr>
        <w:t xml:space="preserve">17.5 </w:t>
      </w:r>
      <w:r>
        <w:rPr>
          <w:rFonts w:hint="eastAsia"/>
          <w:sz w:val="21"/>
          <w:szCs w:val="21"/>
          <w:lang w:val="en-US"/>
        </w:rPr>
        <w:t>商务、技术得分及综合得分的统计</w:t>
      </w:r>
    </w:p>
    <w:p>
      <w:pPr>
        <w:spacing w:before="60" w:beforeLines="25" w:after="60" w:afterLines="25" w:line="360" w:lineRule="auto"/>
        <w:ind w:firstLine="420" w:firstLineChars="200"/>
        <w:rPr>
          <w:sz w:val="21"/>
          <w:szCs w:val="21"/>
        </w:rPr>
      </w:pPr>
      <w:r>
        <w:rPr>
          <w:rFonts w:hint="eastAsia"/>
          <w:sz w:val="21"/>
          <w:szCs w:val="21"/>
          <w:lang w:val="en-US"/>
        </w:rPr>
        <w:t>采购代理机构工作人员取各评委的商务、技术评分的算术平均值为该响应供应商的商务技术得分（评分按四舍五入的原则精确至小数点后两位）。将响应供应商的商务、技术得分和价格得分相加，计算得出各响应供应商的综合得分。</w:t>
      </w:r>
    </w:p>
    <w:p>
      <w:pPr>
        <w:spacing w:before="60" w:beforeLines="25" w:after="60" w:afterLines="25" w:line="360" w:lineRule="auto"/>
        <w:rPr>
          <w:sz w:val="21"/>
          <w:szCs w:val="21"/>
        </w:rPr>
      </w:pPr>
      <w:r>
        <w:rPr>
          <w:sz w:val="21"/>
          <w:szCs w:val="21"/>
          <w:lang w:val="en-US"/>
        </w:rPr>
        <w:t xml:space="preserve">17.6 </w:t>
      </w:r>
      <w:r>
        <w:rPr>
          <w:rFonts w:hint="eastAsia"/>
          <w:sz w:val="21"/>
          <w:szCs w:val="21"/>
          <w:lang w:val="en-US"/>
        </w:rPr>
        <w:t>推荐成交供应商名单</w:t>
      </w:r>
    </w:p>
    <w:p>
      <w:pPr>
        <w:spacing w:before="60" w:beforeLines="25" w:after="60" w:afterLines="25" w:line="360" w:lineRule="auto"/>
        <w:ind w:firstLine="420" w:firstLineChars="200"/>
        <w:rPr>
          <w:sz w:val="21"/>
          <w:szCs w:val="21"/>
        </w:rPr>
      </w:pPr>
      <w:r>
        <w:rPr>
          <w:rFonts w:hint="eastAsia"/>
          <w:sz w:val="21"/>
          <w:szCs w:val="21"/>
          <w:lang w:val="en-US"/>
        </w:rPr>
        <w:t>磋商小组将按综合得分由高到低的顺序排名（综合得分相同的，按磋商报价由低到高顺序排列，综合得分和磋商报价均相同的，按技术指标由优至劣顺序排列），推荐综合得分排名第一的响应供应商为第一成交候选人，依此类推，并向采购人出具书面评审报告。</w:t>
      </w:r>
    </w:p>
    <w:p>
      <w:pPr>
        <w:spacing w:before="60" w:beforeLines="25" w:after="60" w:afterLines="25" w:line="360" w:lineRule="auto"/>
        <w:rPr>
          <w:sz w:val="21"/>
          <w:szCs w:val="21"/>
        </w:rPr>
      </w:pPr>
      <w:r>
        <w:rPr>
          <w:sz w:val="21"/>
          <w:szCs w:val="21"/>
          <w:lang w:val="en-US"/>
        </w:rPr>
        <w:t xml:space="preserve">18. </w:t>
      </w:r>
      <w:r>
        <w:rPr>
          <w:rFonts w:hint="eastAsia"/>
          <w:sz w:val="21"/>
          <w:szCs w:val="21"/>
          <w:lang w:val="en-US"/>
        </w:rPr>
        <w:t>拒绝任何或所有磋商的权利</w:t>
      </w:r>
    </w:p>
    <w:p>
      <w:pPr>
        <w:spacing w:before="60" w:beforeLines="25" w:after="60" w:afterLines="25" w:line="360" w:lineRule="auto"/>
        <w:rPr>
          <w:sz w:val="21"/>
          <w:szCs w:val="21"/>
        </w:rPr>
      </w:pPr>
      <w:r>
        <w:rPr>
          <w:sz w:val="21"/>
          <w:szCs w:val="21"/>
          <w:lang w:val="en-US"/>
        </w:rPr>
        <w:t xml:space="preserve">18.1 </w:t>
      </w:r>
      <w:r>
        <w:rPr>
          <w:rFonts w:hint="eastAsia"/>
          <w:sz w:val="21"/>
          <w:szCs w:val="21"/>
          <w:lang w:val="en-US"/>
        </w:rPr>
        <w:t>磋商小组经评审，一致认为所有响应供应商都不符合磋商文件要求的，可以否决所有磋商。</w:t>
      </w:r>
    </w:p>
    <w:p>
      <w:pPr>
        <w:spacing w:before="60" w:beforeLines="25" w:after="60" w:afterLines="25" w:line="360" w:lineRule="auto"/>
        <w:ind w:left="525" w:hanging="525" w:hangingChars="250"/>
        <w:rPr>
          <w:sz w:val="21"/>
          <w:szCs w:val="21"/>
        </w:rPr>
      </w:pPr>
      <w:r>
        <w:rPr>
          <w:sz w:val="21"/>
          <w:szCs w:val="21"/>
          <w:lang w:val="en-US"/>
        </w:rPr>
        <w:t xml:space="preserve">18.2 </w:t>
      </w:r>
      <w:r>
        <w:rPr>
          <w:rFonts w:hint="eastAsia"/>
          <w:sz w:val="21"/>
          <w:szCs w:val="21"/>
          <w:lang w:val="en-US"/>
        </w:rPr>
        <w:t>采购人经过法定程序，有权在授标之前任何时候取消本次采购活动，对受影响的响应供应商不承担任何责任，也无义务向受影响的响应供应商解释采取这一行动的理由。</w:t>
      </w:r>
    </w:p>
    <w:p>
      <w:pPr>
        <w:spacing w:before="60" w:beforeLines="25" w:after="60" w:afterLines="25" w:line="360" w:lineRule="auto"/>
        <w:rPr>
          <w:sz w:val="21"/>
          <w:szCs w:val="21"/>
        </w:rPr>
      </w:pPr>
      <w:r>
        <w:rPr>
          <w:sz w:val="21"/>
          <w:szCs w:val="21"/>
          <w:lang w:val="en-US"/>
        </w:rPr>
        <w:t xml:space="preserve">19. </w:t>
      </w:r>
      <w:r>
        <w:rPr>
          <w:rFonts w:hint="eastAsia"/>
          <w:sz w:val="21"/>
          <w:szCs w:val="21"/>
          <w:lang w:val="en-US"/>
        </w:rPr>
        <w:t>凡发现成交供应商有下列行为之一的，将移交采购监督管理部门依法处理</w:t>
      </w:r>
      <w:r>
        <w:rPr>
          <w:sz w:val="21"/>
          <w:szCs w:val="21"/>
          <w:lang w:val="en-US"/>
        </w:rPr>
        <w:t>:</w:t>
      </w:r>
    </w:p>
    <w:p>
      <w:pPr>
        <w:spacing w:before="60" w:beforeLines="25" w:after="60" w:afterLines="25" w:line="360" w:lineRule="auto"/>
        <w:ind w:firstLine="420" w:firstLineChars="200"/>
        <w:rPr>
          <w:sz w:val="21"/>
          <w:szCs w:val="21"/>
        </w:rPr>
      </w:pPr>
      <w:r>
        <w:rPr>
          <w:sz w:val="21"/>
          <w:szCs w:val="21"/>
          <w:lang w:val="en-US"/>
        </w:rPr>
        <w:t>1)提供虚假材料谋取成交的；</w:t>
      </w:r>
    </w:p>
    <w:p>
      <w:pPr>
        <w:spacing w:before="60" w:beforeLines="25" w:after="60" w:afterLines="25" w:line="360" w:lineRule="auto"/>
        <w:ind w:firstLine="420" w:firstLineChars="200"/>
        <w:rPr>
          <w:sz w:val="21"/>
          <w:szCs w:val="21"/>
        </w:rPr>
      </w:pPr>
      <w:r>
        <w:rPr>
          <w:sz w:val="21"/>
          <w:szCs w:val="21"/>
          <w:lang w:val="en-US"/>
        </w:rPr>
        <w:t>2)采取不正当手段诋毁、排挤其他供应商的；</w:t>
      </w:r>
    </w:p>
    <w:p>
      <w:pPr>
        <w:spacing w:before="60" w:beforeLines="25" w:after="60" w:afterLines="25" w:line="360" w:lineRule="auto"/>
        <w:ind w:firstLine="420" w:firstLineChars="200"/>
        <w:rPr>
          <w:sz w:val="21"/>
          <w:szCs w:val="21"/>
        </w:rPr>
      </w:pPr>
      <w:r>
        <w:rPr>
          <w:sz w:val="21"/>
          <w:szCs w:val="21"/>
          <w:lang w:val="en-US"/>
        </w:rPr>
        <w:t>3)与采购人、其他供应商或者采购代理机构工作人员恶意串通的；</w:t>
      </w:r>
    </w:p>
    <w:p>
      <w:pPr>
        <w:spacing w:before="60" w:beforeLines="25" w:after="60" w:afterLines="25" w:line="360" w:lineRule="auto"/>
        <w:ind w:firstLine="420" w:firstLineChars="200"/>
        <w:rPr>
          <w:sz w:val="21"/>
          <w:szCs w:val="21"/>
        </w:rPr>
      </w:pPr>
      <w:r>
        <w:rPr>
          <w:sz w:val="21"/>
          <w:szCs w:val="21"/>
          <w:lang w:val="en-US"/>
        </w:rPr>
        <w:t>4)向采购人、采购代理机构工作人员行贿或者提供其他不正当利益的；</w:t>
      </w:r>
    </w:p>
    <w:p>
      <w:pPr>
        <w:spacing w:before="60" w:beforeLines="25" w:after="60" w:afterLines="25" w:line="360" w:lineRule="auto"/>
        <w:ind w:firstLine="420" w:firstLineChars="200"/>
        <w:rPr>
          <w:sz w:val="21"/>
          <w:szCs w:val="21"/>
        </w:rPr>
      </w:pPr>
      <w:r>
        <w:rPr>
          <w:sz w:val="21"/>
          <w:szCs w:val="21"/>
          <w:lang w:val="en-US"/>
        </w:rPr>
        <w:t>5)在采购过程中与采购人进行协商磋商的；</w:t>
      </w:r>
    </w:p>
    <w:p>
      <w:pPr>
        <w:spacing w:before="60" w:beforeLines="25" w:after="60" w:afterLines="25" w:line="360" w:lineRule="auto"/>
        <w:ind w:firstLine="420" w:firstLineChars="200"/>
        <w:rPr>
          <w:sz w:val="21"/>
          <w:szCs w:val="21"/>
        </w:rPr>
      </w:pPr>
      <w:r>
        <w:rPr>
          <w:sz w:val="21"/>
          <w:szCs w:val="21"/>
          <w:lang w:val="en-US"/>
        </w:rPr>
        <w:t>6)拒绝有关部门监督检查或者提供虚假情况的；</w:t>
      </w:r>
    </w:p>
    <w:p>
      <w:pPr>
        <w:spacing w:before="60" w:beforeLines="25" w:after="60" w:afterLines="25" w:line="360" w:lineRule="auto"/>
        <w:ind w:firstLine="420" w:firstLineChars="200"/>
        <w:rPr>
          <w:sz w:val="21"/>
          <w:szCs w:val="21"/>
        </w:rPr>
      </w:pPr>
      <w:r>
        <w:rPr>
          <w:sz w:val="21"/>
          <w:szCs w:val="21"/>
          <w:lang w:val="en-US"/>
        </w:rPr>
        <w:t>7)有法律、法规规定的其他损害采购人利益和社会公共利益情形的。</w:t>
      </w:r>
    </w:p>
    <w:p>
      <w:pPr>
        <w:spacing w:before="60" w:beforeLines="25" w:after="60" w:afterLines="25" w:line="360" w:lineRule="auto"/>
        <w:rPr>
          <w:sz w:val="21"/>
          <w:szCs w:val="21"/>
        </w:rPr>
      </w:pPr>
      <w:r>
        <w:rPr>
          <w:sz w:val="21"/>
          <w:szCs w:val="21"/>
          <w:lang w:val="en-US"/>
        </w:rPr>
        <w:t xml:space="preserve">20. </w:t>
      </w:r>
      <w:r>
        <w:rPr>
          <w:rFonts w:hint="eastAsia"/>
          <w:sz w:val="21"/>
          <w:szCs w:val="21"/>
          <w:lang w:val="en-US"/>
        </w:rPr>
        <w:t>签约</w:t>
      </w:r>
    </w:p>
    <w:p>
      <w:pPr>
        <w:spacing w:before="60" w:beforeLines="25" w:after="60" w:afterLines="25" w:line="360" w:lineRule="auto"/>
        <w:ind w:left="525" w:hanging="525" w:hangingChars="250"/>
        <w:rPr>
          <w:sz w:val="21"/>
          <w:szCs w:val="21"/>
        </w:rPr>
      </w:pPr>
      <w:r>
        <w:rPr>
          <w:sz w:val="21"/>
          <w:szCs w:val="21"/>
          <w:lang w:val="en-US"/>
        </w:rPr>
        <w:t xml:space="preserve">20.1 </w:t>
      </w:r>
      <w:r>
        <w:rPr>
          <w:rFonts w:hint="eastAsia"/>
          <w:sz w:val="21"/>
          <w:szCs w:val="21"/>
          <w:lang w:val="en-US"/>
        </w:rPr>
        <w:t>成交供应商应依时与采购人签订合同（自成交通知书发出之日起</w:t>
      </w:r>
      <w:r>
        <w:rPr>
          <w:sz w:val="21"/>
          <w:szCs w:val="21"/>
          <w:lang w:val="en-US"/>
        </w:rPr>
        <w:t xml:space="preserve">20日内）。在签订合同过程中， </w:t>
      </w:r>
      <w:r>
        <w:rPr>
          <w:rFonts w:hint="eastAsia"/>
          <w:sz w:val="21"/>
          <w:szCs w:val="21"/>
          <w:lang w:val="en-US"/>
        </w:rPr>
        <w:t>如发现成交供应商以他人名义报价或者以其他方式弄虚作假，骗取成交的，采购人应报同级的财政监管部门批准后，将第二成交候选人确定为成交供应商，依此类推。</w:t>
      </w:r>
    </w:p>
    <w:p>
      <w:pPr>
        <w:spacing w:before="60" w:beforeLines="25" w:after="60" w:afterLines="25" w:line="360" w:lineRule="auto"/>
        <w:ind w:left="525" w:hanging="525" w:hangingChars="250"/>
        <w:rPr>
          <w:sz w:val="21"/>
          <w:szCs w:val="21"/>
        </w:rPr>
      </w:pPr>
      <w:r>
        <w:rPr>
          <w:sz w:val="21"/>
          <w:szCs w:val="21"/>
          <w:lang w:val="en-US"/>
        </w:rPr>
        <w:t xml:space="preserve">20.2 </w:t>
      </w:r>
      <w:r>
        <w:rPr>
          <w:rFonts w:hint="eastAsia"/>
          <w:sz w:val="21"/>
          <w:szCs w:val="21"/>
          <w:lang w:val="en-US"/>
        </w:rPr>
        <w:t>采购人不得向成交供应商提出任何不合理的要求，作为签订合同的条件，不得与成交供应商私下订立背离合同实质性内容的协议。</w:t>
      </w:r>
    </w:p>
    <w:p>
      <w:pPr>
        <w:spacing w:before="60" w:beforeLines="25" w:after="60" w:afterLines="25" w:line="360" w:lineRule="auto"/>
        <w:rPr>
          <w:sz w:val="21"/>
          <w:szCs w:val="21"/>
        </w:rPr>
      </w:pPr>
      <w:r>
        <w:rPr>
          <w:sz w:val="21"/>
          <w:szCs w:val="21"/>
          <w:lang w:val="en-US"/>
        </w:rPr>
        <w:t xml:space="preserve">21. </w:t>
      </w:r>
      <w:r>
        <w:rPr>
          <w:rFonts w:hint="eastAsia"/>
          <w:sz w:val="21"/>
          <w:szCs w:val="21"/>
          <w:lang w:val="en-US"/>
        </w:rPr>
        <w:t>保密事项</w:t>
      </w:r>
    </w:p>
    <w:p>
      <w:pPr>
        <w:spacing w:before="60" w:beforeLines="25" w:after="60" w:afterLines="25" w:line="360" w:lineRule="auto"/>
        <w:ind w:left="525" w:hanging="525" w:hangingChars="250"/>
        <w:rPr>
          <w:sz w:val="21"/>
          <w:szCs w:val="21"/>
        </w:rPr>
      </w:pPr>
      <w:r>
        <w:rPr>
          <w:sz w:val="21"/>
          <w:szCs w:val="21"/>
          <w:lang w:val="en-US"/>
        </w:rPr>
        <w:t xml:space="preserve">21.1 </w:t>
      </w:r>
      <w:r>
        <w:rPr>
          <w:rFonts w:hint="eastAsia"/>
          <w:sz w:val="21"/>
          <w:szCs w:val="21"/>
          <w:lang w:val="en-US"/>
        </w:rPr>
        <w:t>采购代理机构应采取必要的措施，保证磋商在严格保密的情况下进行。任何单位和个人不得非法干预、影响磋商的过程和结果。</w:t>
      </w:r>
    </w:p>
    <w:p>
      <w:pPr>
        <w:spacing w:before="60" w:beforeLines="25" w:after="60" w:afterLines="25" w:line="360" w:lineRule="auto"/>
        <w:ind w:left="525" w:hanging="525" w:hangingChars="250"/>
        <w:rPr>
          <w:sz w:val="21"/>
          <w:szCs w:val="21"/>
        </w:rPr>
      </w:pPr>
      <w:r>
        <w:rPr>
          <w:sz w:val="21"/>
          <w:szCs w:val="21"/>
          <w:lang w:val="en-US"/>
        </w:rPr>
        <w:t xml:space="preserve">21.2 </w:t>
      </w:r>
      <w:r>
        <w:rPr>
          <w:rFonts w:hint="eastAsia"/>
          <w:sz w:val="21"/>
          <w:szCs w:val="21"/>
          <w:lang w:val="en-US"/>
        </w:rPr>
        <w:t>磋商后，直至成交供应商与采购人签订合同为止，凡与审查、澄清、评价、比较磋商有关的资料以及授标意见等内容，任何人均不得向响应供应商及与磋商无关的其他人透露。</w:t>
      </w:r>
    </w:p>
    <w:p>
      <w:pPr>
        <w:spacing w:before="60" w:beforeLines="25" w:after="60" w:afterLines="25" w:line="360" w:lineRule="auto"/>
        <w:ind w:left="525" w:hanging="525" w:hangingChars="250"/>
        <w:rPr>
          <w:sz w:val="21"/>
          <w:szCs w:val="21"/>
        </w:rPr>
      </w:pPr>
      <w:r>
        <w:rPr>
          <w:sz w:val="21"/>
          <w:szCs w:val="21"/>
          <w:lang w:val="en-US"/>
        </w:rPr>
        <w:t xml:space="preserve">21.3 </w:t>
      </w:r>
      <w:r>
        <w:rPr>
          <w:rFonts w:hint="eastAsia"/>
          <w:sz w:val="21"/>
          <w:szCs w:val="21"/>
          <w:lang w:val="en-US"/>
        </w:rPr>
        <w:t>从磋商截止日起到定标日止，响应供应商不得与参加磋商的有关人员私下接触。在磋商过程中，如果响应供应商试图在响应文件审查、澄清、比较及推荐成交供应商方面向参与磋商的有关人员和采购人施加任何影响，其磋商将被拒绝。</w:t>
      </w:r>
    </w:p>
    <w:p>
      <w:pPr>
        <w:spacing w:before="120" w:beforeLines="50" w:after="120" w:afterLines="50" w:line="360" w:lineRule="auto"/>
        <w:outlineLvl w:val="1"/>
        <w:rPr>
          <w:b/>
          <w:sz w:val="21"/>
          <w:szCs w:val="21"/>
          <w:lang w:val="en-US"/>
        </w:rPr>
      </w:pPr>
      <w:bookmarkStart w:id="169" w:name="_bookmark20"/>
      <w:bookmarkEnd w:id="169"/>
      <w:bookmarkStart w:id="170" w:name="_Toc19907"/>
      <w:bookmarkStart w:id="171" w:name="_Toc420"/>
      <w:bookmarkStart w:id="172" w:name="_Toc4583"/>
      <w:bookmarkStart w:id="173" w:name="_Toc24144"/>
      <w:r>
        <w:rPr>
          <w:rFonts w:hint="eastAsia"/>
          <w:b/>
          <w:sz w:val="21"/>
          <w:szCs w:val="21"/>
          <w:lang w:val="en-US"/>
        </w:rPr>
        <w:t>八、确定成交供应商办法</w:t>
      </w:r>
      <w:bookmarkEnd w:id="170"/>
      <w:bookmarkEnd w:id="171"/>
      <w:bookmarkEnd w:id="172"/>
      <w:bookmarkEnd w:id="173"/>
    </w:p>
    <w:p>
      <w:pPr>
        <w:spacing w:before="60" w:beforeLines="25" w:after="60" w:afterLines="25" w:line="360" w:lineRule="auto"/>
        <w:rPr>
          <w:sz w:val="21"/>
          <w:szCs w:val="21"/>
        </w:rPr>
      </w:pPr>
      <w:r>
        <w:rPr>
          <w:sz w:val="21"/>
          <w:szCs w:val="21"/>
          <w:lang w:val="en-US"/>
        </w:rPr>
        <w:t xml:space="preserve">22. </w:t>
      </w:r>
      <w:r>
        <w:rPr>
          <w:rFonts w:hint="eastAsia"/>
          <w:sz w:val="21"/>
          <w:szCs w:val="21"/>
          <w:lang w:val="en-US"/>
        </w:rPr>
        <w:t>确定成交供应商</w:t>
      </w:r>
    </w:p>
    <w:p>
      <w:pPr>
        <w:spacing w:before="60" w:beforeLines="25" w:after="60" w:afterLines="25" w:line="360" w:lineRule="auto"/>
        <w:ind w:left="525" w:hanging="525" w:hangingChars="250"/>
        <w:rPr>
          <w:sz w:val="21"/>
          <w:szCs w:val="21"/>
        </w:rPr>
      </w:pPr>
      <w:r>
        <w:rPr>
          <w:sz w:val="21"/>
          <w:szCs w:val="21"/>
          <w:lang w:val="en-US"/>
        </w:rPr>
        <w:t xml:space="preserve">22.1 </w:t>
      </w:r>
      <w:r>
        <w:rPr>
          <w:rFonts w:hint="eastAsia"/>
          <w:sz w:val="21"/>
          <w:szCs w:val="21"/>
          <w:lang w:val="en-US"/>
        </w:rPr>
        <w:t>成交供应商确定后，采购代理机构将在刊登本项目采购邀请的媒介上发布成交结果公告。不在成交名单之列者即为未成交供应商，采购代理机构不再以其他方式另行通知。</w:t>
      </w:r>
    </w:p>
    <w:p>
      <w:pPr>
        <w:spacing w:before="60" w:beforeLines="25" w:after="60" w:afterLines="25" w:line="360" w:lineRule="auto"/>
        <w:ind w:left="525" w:hanging="525" w:hangingChars="250"/>
        <w:rPr>
          <w:sz w:val="21"/>
          <w:szCs w:val="21"/>
        </w:rPr>
      </w:pPr>
      <w:r>
        <w:rPr>
          <w:sz w:val="21"/>
          <w:szCs w:val="21"/>
          <w:lang w:val="en-US"/>
        </w:rPr>
        <w:t xml:space="preserve">22.2 </w:t>
      </w:r>
      <w:r>
        <w:rPr>
          <w:rFonts w:hint="eastAsia"/>
          <w:sz w:val="21"/>
          <w:szCs w:val="21"/>
          <w:lang w:val="en-US"/>
        </w:rPr>
        <w:t>成交结果公告后，采购代理机构同时向成交供应商发出《成交通知书》，《成交通知书》对成交供应商和采购人具有同等法律效力。</w:t>
      </w:r>
    </w:p>
    <w:p>
      <w:pPr>
        <w:spacing w:before="60" w:beforeLines="25" w:after="60" w:afterLines="25" w:line="360" w:lineRule="auto"/>
        <w:rPr>
          <w:sz w:val="21"/>
          <w:szCs w:val="21"/>
        </w:rPr>
      </w:pPr>
      <w:r>
        <w:rPr>
          <w:sz w:val="21"/>
          <w:szCs w:val="21"/>
          <w:lang w:val="en-US"/>
        </w:rPr>
        <w:t xml:space="preserve">22.3 </w:t>
      </w:r>
      <w:r>
        <w:rPr>
          <w:rFonts w:hint="eastAsia"/>
          <w:sz w:val="21"/>
          <w:szCs w:val="21"/>
          <w:lang w:val="en-US"/>
        </w:rPr>
        <w:t>《成交通知书》将作为授予合同资格的合法依据，是合同的一个组成部分。</w:t>
      </w:r>
    </w:p>
    <w:p>
      <w:pPr>
        <w:spacing w:before="60" w:beforeLines="25" w:after="60" w:afterLines="25" w:line="360" w:lineRule="auto"/>
        <w:rPr>
          <w:sz w:val="21"/>
          <w:szCs w:val="21"/>
        </w:rPr>
      </w:pPr>
      <w:r>
        <w:rPr>
          <w:sz w:val="21"/>
          <w:szCs w:val="21"/>
          <w:lang w:val="en-US"/>
        </w:rPr>
        <w:t xml:space="preserve">23. </w:t>
      </w:r>
      <w:r>
        <w:rPr>
          <w:rFonts w:hint="eastAsia"/>
          <w:sz w:val="21"/>
          <w:szCs w:val="21"/>
          <w:lang w:val="en-US"/>
        </w:rPr>
        <w:t>替补候选人的设定与使用。</w:t>
      </w:r>
    </w:p>
    <w:p>
      <w:pPr>
        <w:spacing w:before="60" w:beforeLines="25" w:after="60" w:afterLines="25" w:line="360" w:lineRule="auto"/>
        <w:ind w:left="525" w:hanging="525" w:hangingChars="250"/>
        <w:rPr>
          <w:sz w:val="21"/>
          <w:szCs w:val="21"/>
        </w:rPr>
      </w:pPr>
      <w:r>
        <w:rPr>
          <w:sz w:val="21"/>
          <w:szCs w:val="21"/>
          <w:lang w:val="en-US"/>
        </w:rPr>
        <w:t xml:space="preserve">23.1 </w:t>
      </w:r>
      <w:r>
        <w:rPr>
          <w:rFonts w:hint="eastAsia"/>
          <w:sz w:val="21"/>
          <w:szCs w:val="21"/>
          <w:lang w:val="en-US"/>
        </w:rPr>
        <w:t>如第一成交候选人存在履约能力不足或所提交的《磋商响应文件》内容存在虚假情况的，取消其成交供应商的资格，采购人可以重新开展采购活动或者确定排名第二的成交候选人为成交供应商。</w:t>
      </w:r>
    </w:p>
    <w:p>
      <w:pPr>
        <w:spacing w:before="60" w:beforeLines="25" w:after="60" w:afterLines="25" w:line="360" w:lineRule="auto"/>
        <w:ind w:left="525" w:hanging="525" w:hangingChars="250"/>
        <w:rPr>
          <w:sz w:val="21"/>
          <w:szCs w:val="21"/>
        </w:rPr>
      </w:pPr>
      <w:r>
        <w:rPr>
          <w:sz w:val="21"/>
          <w:szCs w:val="21"/>
          <w:lang w:val="en-US"/>
        </w:rPr>
        <w:t xml:space="preserve">23.2 </w:t>
      </w:r>
      <w:r>
        <w:rPr>
          <w:rFonts w:hint="eastAsia"/>
          <w:sz w:val="21"/>
          <w:szCs w:val="21"/>
          <w:lang w:val="en-US"/>
        </w:rPr>
        <w:t>如第一成交候选人放弃成交资格、或因不可抗力提出不能履行合同的采购人可以重新开展采购活动或者确定排名第二的成交候选人为成交供应商。</w:t>
      </w:r>
    </w:p>
    <w:p>
      <w:pPr>
        <w:spacing w:before="120" w:beforeLines="50" w:after="120" w:afterLines="50" w:line="360" w:lineRule="auto"/>
        <w:outlineLvl w:val="1"/>
        <w:rPr>
          <w:b/>
          <w:sz w:val="21"/>
          <w:szCs w:val="21"/>
          <w:lang w:val="en-US"/>
        </w:rPr>
      </w:pPr>
      <w:bookmarkStart w:id="174" w:name="_bookmark21"/>
      <w:bookmarkEnd w:id="174"/>
      <w:bookmarkStart w:id="175" w:name="_Toc28243"/>
      <w:bookmarkStart w:id="176" w:name="_Toc23577"/>
      <w:bookmarkStart w:id="177" w:name="_Toc27931"/>
      <w:bookmarkStart w:id="178" w:name="_Toc1727"/>
      <w:r>
        <w:rPr>
          <w:rFonts w:hint="eastAsia"/>
          <w:b/>
          <w:sz w:val="21"/>
          <w:szCs w:val="21"/>
          <w:lang w:val="en-US"/>
        </w:rPr>
        <w:t>九、质疑</w:t>
      </w:r>
      <w:bookmarkEnd w:id="175"/>
      <w:bookmarkEnd w:id="176"/>
      <w:bookmarkEnd w:id="177"/>
      <w:bookmarkEnd w:id="178"/>
    </w:p>
    <w:p>
      <w:pPr>
        <w:spacing w:after="60" w:line="360" w:lineRule="auto"/>
        <w:ind w:left="525" w:hanging="525" w:hangingChars="250"/>
        <w:rPr>
          <w:bCs/>
          <w:sz w:val="21"/>
          <w:szCs w:val="21"/>
          <w:lang w:val="en-US"/>
        </w:rPr>
      </w:pPr>
      <w:bookmarkStart w:id="179" w:name="_bookmark22"/>
      <w:bookmarkEnd w:id="179"/>
      <w:bookmarkStart w:id="180" w:name="_Toc20405"/>
      <w:r>
        <w:rPr>
          <w:bCs/>
          <w:sz w:val="21"/>
          <w:szCs w:val="21"/>
          <w:lang w:val="en-US"/>
        </w:rPr>
        <w:t>24.1提出质疑的供应商（以下简称质疑供应商）应当是参与所质疑项目采购活动的供应商。</w:t>
      </w:r>
      <w:r>
        <w:rPr>
          <w:rFonts w:hint="eastAsia"/>
          <w:bCs/>
          <w:sz w:val="21"/>
          <w:szCs w:val="21"/>
        </w:rPr>
        <w:t>应当以书面形式（加盖</w:t>
      </w:r>
      <w:r>
        <w:rPr>
          <w:rFonts w:hint="eastAsia"/>
          <w:bCs/>
          <w:sz w:val="21"/>
          <w:szCs w:val="21"/>
          <w:lang w:val="en-US"/>
        </w:rPr>
        <w:t>供应商</w:t>
      </w:r>
      <w:r>
        <w:rPr>
          <w:rFonts w:hint="eastAsia"/>
          <w:bCs/>
          <w:sz w:val="21"/>
          <w:szCs w:val="21"/>
        </w:rPr>
        <w:t>公章）在质疑有效期限内向采购代理机构</w:t>
      </w:r>
      <w:r>
        <w:rPr>
          <w:rFonts w:hint="eastAsia"/>
          <w:bCs/>
          <w:sz w:val="21"/>
          <w:szCs w:val="21"/>
          <w:lang w:val="en-US"/>
        </w:rPr>
        <w:t>现场</w:t>
      </w:r>
      <w:r>
        <w:rPr>
          <w:rFonts w:hint="eastAsia"/>
          <w:bCs/>
          <w:sz w:val="21"/>
          <w:szCs w:val="21"/>
        </w:rPr>
        <w:t>提交质疑书原件，</w:t>
      </w:r>
      <w:r>
        <w:rPr>
          <w:rFonts w:hint="eastAsia"/>
          <w:bCs/>
          <w:sz w:val="21"/>
          <w:szCs w:val="21"/>
          <w:lang w:val="en-US"/>
        </w:rPr>
        <w:t>超出法定质疑期限的质疑函，采购人或采购代理机构将依法不予接收</w:t>
      </w:r>
      <w:r>
        <w:rPr>
          <w:rFonts w:hint="eastAsia"/>
          <w:bCs/>
          <w:sz w:val="21"/>
          <w:szCs w:val="21"/>
        </w:rPr>
        <w:t>。供应商以电话、传真或电邮</w:t>
      </w:r>
      <w:r>
        <w:rPr>
          <w:rFonts w:hint="eastAsia"/>
          <w:bCs/>
          <w:sz w:val="21"/>
          <w:szCs w:val="21"/>
          <w:lang w:val="en-US"/>
        </w:rPr>
        <w:t>等</w:t>
      </w:r>
      <w:r>
        <w:rPr>
          <w:rFonts w:hint="eastAsia"/>
          <w:bCs/>
          <w:sz w:val="21"/>
          <w:szCs w:val="21"/>
        </w:rPr>
        <w:t>形式提交的质疑属于无效质疑。</w:t>
      </w:r>
      <w:r>
        <w:rPr>
          <w:rFonts w:hint="eastAsia"/>
          <w:bCs/>
          <w:sz w:val="21"/>
          <w:szCs w:val="21"/>
          <w:lang w:val="en-US"/>
        </w:rPr>
        <w:t>各环节质疑时效的规定如下：</w:t>
      </w:r>
      <w:r>
        <w:rPr>
          <w:bCs/>
          <w:sz w:val="21"/>
          <w:szCs w:val="21"/>
          <w:lang w:val="en-US"/>
        </w:rPr>
        <w:t xml:space="preserve"> </w:t>
      </w:r>
    </w:p>
    <w:p>
      <w:pPr>
        <w:spacing w:after="60" w:line="360" w:lineRule="auto"/>
        <w:ind w:left="535" w:leftChars="100" w:hanging="315" w:hangingChars="150"/>
        <w:rPr>
          <w:bCs/>
          <w:sz w:val="21"/>
          <w:szCs w:val="21"/>
          <w:lang w:val="en-US"/>
        </w:rPr>
      </w:pPr>
      <w:r>
        <w:rPr>
          <w:rFonts w:hint="eastAsia"/>
          <w:bCs/>
          <w:sz w:val="21"/>
          <w:szCs w:val="21"/>
          <w:lang w:val="en-US"/>
        </w:rPr>
        <w:t>（</w:t>
      </w:r>
      <w:r>
        <w:rPr>
          <w:bCs/>
          <w:sz w:val="21"/>
          <w:szCs w:val="21"/>
          <w:lang w:val="en-US"/>
        </w:rPr>
        <w:t>1）对</w:t>
      </w:r>
      <w:r>
        <w:rPr>
          <w:rFonts w:hint="eastAsia"/>
          <w:bCs/>
          <w:sz w:val="21"/>
          <w:szCs w:val="21"/>
          <w:lang w:val="en-US"/>
        </w:rPr>
        <w:t>磋商文件提出质疑的，应当在获取磋商文件或者磋商文件公告期限届满之日起</w:t>
      </w:r>
      <w:r>
        <w:rPr>
          <w:bCs/>
          <w:sz w:val="21"/>
          <w:szCs w:val="21"/>
          <w:lang w:val="en-US"/>
        </w:rPr>
        <w:t xml:space="preserve">7个工作日内提出； </w:t>
      </w:r>
    </w:p>
    <w:p>
      <w:pPr>
        <w:spacing w:after="60" w:line="360" w:lineRule="auto"/>
        <w:ind w:left="535" w:leftChars="100" w:hanging="315" w:hangingChars="150"/>
        <w:rPr>
          <w:bCs/>
          <w:sz w:val="21"/>
          <w:szCs w:val="21"/>
          <w:lang w:val="en-US"/>
        </w:rPr>
      </w:pPr>
      <w:r>
        <w:rPr>
          <w:rFonts w:hint="eastAsia"/>
          <w:bCs/>
          <w:sz w:val="21"/>
          <w:szCs w:val="21"/>
          <w:lang w:val="en-US"/>
        </w:rPr>
        <w:t>（</w:t>
      </w:r>
      <w:r>
        <w:rPr>
          <w:bCs/>
          <w:sz w:val="21"/>
          <w:szCs w:val="21"/>
          <w:lang w:val="en-US"/>
        </w:rPr>
        <w:t xml:space="preserve">2）对采购过程提出质疑的，应当在各采购程序环节结束之日起7个工作日内提出； </w:t>
      </w:r>
    </w:p>
    <w:p>
      <w:pPr>
        <w:spacing w:after="60" w:line="360" w:lineRule="auto"/>
        <w:ind w:left="535" w:leftChars="100" w:hanging="315" w:hangingChars="150"/>
        <w:rPr>
          <w:bCs/>
          <w:sz w:val="21"/>
          <w:szCs w:val="21"/>
          <w:lang w:val="en-US"/>
        </w:rPr>
      </w:pPr>
      <w:r>
        <w:rPr>
          <w:rFonts w:hint="eastAsia"/>
          <w:bCs/>
          <w:sz w:val="21"/>
          <w:szCs w:val="21"/>
          <w:lang w:val="en-US"/>
        </w:rPr>
        <w:t>（</w:t>
      </w:r>
      <w:r>
        <w:rPr>
          <w:bCs/>
          <w:sz w:val="21"/>
          <w:szCs w:val="21"/>
          <w:lang w:val="en-US"/>
        </w:rPr>
        <w:t xml:space="preserve">3）对成交结果提出质疑的，应当在成交结果公告期限届满之日起7个工作日内提出。 </w:t>
      </w:r>
    </w:p>
    <w:p>
      <w:pPr>
        <w:spacing w:after="60" w:line="360" w:lineRule="auto"/>
        <w:ind w:left="420" w:hanging="420" w:hangingChars="200"/>
        <w:rPr>
          <w:bCs/>
          <w:sz w:val="21"/>
          <w:szCs w:val="21"/>
          <w:lang w:val="en-US"/>
        </w:rPr>
      </w:pPr>
      <w:r>
        <w:rPr>
          <w:bCs/>
          <w:sz w:val="21"/>
          <w:szCs w:val="21"/>
        </w:rPr>
        <w:t>2</w:t>
      </w:r>
      <w:r>
        <w:rPr>
          <w:bCs/>
          <w:sz w:val="21"/>
          <w:szCs w:val="21"/>
          <w:lang w:val="en-US"/>
        </w:rPr>
        <w:t>4</w:t>
      </w:r>
      <w:r>
        <w:rPr>
          <w:bCs/>
          <w:sz w:val="21"/>
          <w:szCs w:val="21"/>
        </w:rPr>
        <w:t>.</w:t>
      </w:r>
      <w:r>
        <w:rPr>
          <w:bCs/>
          <w:sz w:val="21"/>
          <w:szCs w:val="21"/>
          <w:lang w:val="en-US"/>
        </w:rPr>
        <w:t xml:space="preserve">2供应商提出质疑应当提交质疑函和必要的证明材料(包括证明材料清单、证明文件及获取途径说明)，质疑函应当包括下列内容： </w:t>
      </w:r>
    </w:p>
    <w:p>
      <w:pPr>
        <w:spacing w:after="60" w:line="360" w:lineRule="auto"/>
        <w:ind w:firstLine="210" w:firstLineChars="100"/>
        <w:rPr>
          <w:bCs/>
          <w:sz w:val="21"/>
          <w:szCs w:val="21"/>
          <w:lang w:val="en-US"/>
        </w:rPr>
      </w:pPr>
      <w:r>
        <w:rPr>
          <w:rFonts w:hint="eastAsia"/>
          <w:bCs/>
          <w:sz w:val="21"/>
          <w:szCs w:val="21"/>
          <w:lang w:val="en-US"/>
        </w:rPr>
        <w:t>（</w:t>
      </w:r>
      <w:r>
        <w:rPr>
          <w:bCs/>
          <w:sz w:val="21"/>
          <w:szCs w:val="21"/>
          <w:lang w:val="en-US"/>
        </w:rPr>
        <w:t xml:space="preserve">1）供应商的姓名或者名称、地址、邮编、联系人及联系电话； </w:t>
      </w:r>
    </w:p>
    <w:p>
      <w:pPr>
        <w:spacing w:after="60" w:line="360" w:lineRule="auto"/>
        <w:ind w:left="430" w:leftChars="100" w:hanging="210" w:hangingChars="100"/>
        <w:rPr>
          <w:bCs/>
          <w:sz w:val="21"/>
          <w:szCs w:val="21"/>
          <w:lang w:val="en-US"/>
        </w:rPr>
      </w:pPr>
      <w:r>
        <w:rPr>
          <w:rFonts w:hint="eastAsia"/>
          <w:bCs/>
          <w:sz w:val="21"/>
          <w:szCs w:val="21"/>
          <w:lang w:val="en-US"/>
        </w:rPr>
        <w:t>（</w:t>
      </w:r>
      <w:r>
        <w:rPr>
          <w:bCs/>
          <w:sz w:val="21"/>
          <w:szCs w:val="21"/>
          <w:lang w:val="en-US"/>
        </w:rPr>
        <w:t xml:space="preserve">2）质疑项目的名称、编号； </w:t>
      </w:r>
    </w:p>
    <w:p>
      <w:pPr>
        <w:spacing w:after="60" w:line="360" w:lineRule="auto"/>
        <w:ind w:left="430" w:leftChars="100" w:hanging="210" w:hangingChars="100"/>
        <w:rPr>
          <w:bCs/>
          <w:sz w:val="21"/>
          <w:szCs w:val="21"/>
          <w:lang w:val="en-US"/>
        </w:rPr>
      </w:pPr>
      <w:r>
        <w:rPr>
          <w:rFonts w:hint="eastAsia"/>
          <w:bCs/>
          <w:sz w:val="21"/>
          <w:szCs w:val="21"/>
          <w:lang w:val="en-US"/>
        </w:rPr>
        <w:t>（</w:t>
      </w:r>
      <w:r>
        <w:rPr>
          <w:bCs/>
          <w:sz w:val="21"/>
          <w:szCs w:val="21"/>
          <w:lang w:val="en-US"/>
        </w:rPr>
        <w:t xml:space="preserve">3）具体、明确的质疑事项和与质疑事项相关的请求； </w:t>
      </w:r>
    </w:p>
    <w:p>
      <w:pPr>
        <w:spacing w:after="60" w:line="360" w:lineRule="auto"/>
        <w:ind w:left="430" w:leftChars="100" w:hanging="210" w:hangingChars="100"/>
        <w:rPr>
          <w:bCs/>
          <w:sz w:val="21"/>
          <w:szCs w:val="21"/>
          <w:lang w:val="en-US"/>
        </w:rPr>
      </w:pPr>
      <w:r>
        <w:rPr>
          <w:rFonts w:hint="eastAsia"/>
          <w:bCs/>
          <w:sz w:val="21"/>
          <w:szCs w:val="21"/>
          <w:lang w:val="en-US"/>
        </w:rPr>
        <w:t>（</w:t>
      </w:r>
      <w:r>
        <w:rPr>
          <w:bCs/>
          <w:sz w:val="21"/>
          <w:szCs w:val="21"/>
          <w:lang w:val="en-US"/>
        </w:rPr>
        <w:t xml:space="preserve">4）事实依据； </w:t>
      </w:r>
    </w:p>
    <w:p>
      <w:pPr>
        <w:spacing w:after="60" w:line="360" w:lineRule="auto"/>
        <w:ind w:left="430" w:leftChars="100" w:hanging="210" w:hangingChars="100"/>
        <w:rPr>
          <w:bCs/>
          <w:sz w:val="21"/>
          <w:szCs w:val="21"/>
          <w:lang w:val="en-US"/>
        </w:rPr>
      </w:pPr>
      <w:r>
        <w:rPr>
          <w:rFonts w:hint="eastAsia"/>
          <w:bCs/>
          <w:sz w:val="21"/>
          <w:szCs w:val="21"/>
          <w:lang w:val="en-US"/>
        </w:rPr>
        <w:t>（</w:t>
      </w:r>
      <w:r>
        <w:rPr>
          <w:bCs/>
          <w:sz w:val="21"/>
          <w:szCs w:val="21"/>
          <w:lang w:val="en-US"/>
        </w:rPr>
        <w:t xml:space="preserve">5）必要的法律依据； </w:t>
      </w:r>
    </w:p>
    <w:p>
      <w:pPr>
        <w:spacing w:after="60" w:line="360" w:lineRule="auto"/>
        <w:ind w:left="430" w:leftChars="100" w:hanging="210" w:hangingChars="100"/>
        <w:rPr>
          <w:bCs/>
          <w:sz w:val="21"/>
          <w:szCs w:val="21"/>
          <w:lang w:val="en-US"/>
        </w:rPr>
      </w:pPr>
      <w:r>
        <w:rPr>
          <w:rFonts w:hint="eastAsia"/>
          <w:bCs/>
          <w:sz w:val="21"/>
          <w:szCs w:val="21"/>
          <w:lang w:val="en-US"/>
        </w:rPr>
        <w:t>（</w:t>
      </w:r>
      <w:r>
        <w:rPr>
          <w:bCs/>
          <w:sz w:val="21"/>
          <w:szCs w:val="21"/>
          <w:lang w:val="en-US"/>
        </w:rPr>
        <w:t xml:space="preserve">6）提出质疑的日期。 </w:t>
      </w:r>
    </w:p>
    <w:p>
      <w:pPr>
        <w:spacing w:line="360" w:lineRule="auto"/>
        <w:ind w:firstLine="420" w:firstLineChars="200"/>
        <w:rPr>
          <w:bCs/>
          <w:sz w:val="21"/>
          <w:szCs w:val="21"/>
          <w:lang w:val="en-US"/>
        </w:rPr>
      </w:pPr>
      <w:r>
        <w:rPr>
          <w:rFonts w:hint="eastAsia"/>
          <w:bCs/>
          <w:sz w:val="21"/>
          <w:szCs w:val="21"/>
          <w:lang w:val="en-US"/>
        </w:rPr>
        <w:t>供应商为法人或者其他组织的，应当由法定代表人签字，并加盖公章。</w:t>
      </w:r>
    </w:p>
    <w:p>
      <w:pPr>
        <w:spacing w:after="60" w:line="360" w:lineRule="auto"/>
        <w:ind w:firstLine="420" w:firstLineChars="200"/>
        <w:rPr>
          <w:sz w:val="21"/>
          <w:szCs w:val="21"/>
          <w:lang w:val="en-US"/>
        </w:rPr>
      </w:pPr>
      <w:r>
        <w:rPr>
          <w:rFonts w:hint="eastAsia"/>
          <w:bCs/>
          <w:sz w:val="21"/>
          <w:szCs w:val="21"/>
          <w:lang w:val="en-US"/>
        </w:rPr>
        <w:t>若供应商提交的证明材料和质疑函内容不全，则采购人或采购代理机构有权不予受理。</w:t>
      </w:r>
    </w:p>
    <w:p>
      <w:pPr>
        <w:spacing w:after="60" w:line="360" w:lineRule="auto"/>
        <w:ind w:left="420" w:hanging="420" w:hangingChars="200"/>
        <w:rPr>
          <w:bCs/>
          <w:sz w:val="21"/>
          <w:szCs w:val="21"/>
          <w:lang w:val="en-US"/>
        </w:rPr>
      </w:pPr>
      <w:r>
        <w:rPr>
          <w:bCs/>
          <w:sz w:val="21"/>
          <w:szCs w:val="21"/>
          <w:lang w:val="en-US"/>
        </w:rPr>
        <w:t xml:space="preserve">24.3供应商可以委托代理人进行质疑和投诉。其授权委托书应当载明代理人的姓名或者名称、代理事项、具体权限、期限和相关事项。供应商为法人或者其他组织的， 应当由法定代表人签字，并加盖公章。 </w:t>
      </w:r>
    </w:p>
    <w:p>
      <w:pPr>
        <w:spacing w:after="60" w:line="360" w:lineRule="auto"/>
        <w:ind w:left="440" w:leftChars="200"/>
        <w:rPr>
          <w:sz w:val="21"/>
          <w:szCs w:val="21"/>
          <w:lang w:val="en-US"/>
        </w:rPr>
      </w:pPr>
      <w:r>
        <w:rPr>
          <w:rFonts w:hint="eastAsia"/>
          <w:bCs/>
          <w:sz w:val="21"/>
          <w:szCs w:val="21"/>
          <w:lang w:val="en-US"/>
        </w:rPr>
        <w:t>代理人提出质疑和投诉，应当提交供应商签署的授权委托书。</w:t>
      </w:r>
    </w:p>
    <w:p>
      <w:pPr>
        <w:spacing w:after="60" w:line="360" w:lineRule="auto"/>
        <w:ind w:left="420" w:hanging="420" w:hangingChars="200"/>
        <w:rPr>
          <w:bCs/>
          <w:sz w:val="21"/>
          <w:szCs w:val="21"/>
        </w:rPr>
      </w:pPr>
      <w:r>
        <w:rPr>
          <w:bCs/>
          <w:sz w:val="21"/>
          <w:szCs w:val="21"/>
          <w:lang w:val="en-US"/>
        </w:rPr>
        <w:t>24.4</w:t>
      </w:r>
      <w:r>
        <w:rPr>
          <w:rFonts w:hint="eastAsia"/>
          <w:bCs/>
          <w:sz w:val="21"/>
          <w:szCs w:val="21"/>
        </w:rPr>
        <w:t>质疑内容不得含有虚假、恶意成分。依据谁主张谁举证的原则，投诉人在全国范围</w:t>
      </w:r>
      <w:r>
        <w:rPr>
          <w:bCs/>
          <w:sz w:val="21"/>
          <w:szCs w:val="21"/>
        </w:rPr>
        <w:t>12个月内三次以上投诉查无实据的，由财政部门列入不良行为记录名单。对于捏造事实、提供虚假材料、以非法手段取得证明材料的，由财政部门列入不良行为记录名单，禁止其1至3年内参加采购活动。</w:t>
      </w:r>
    </w:p>
    <w:p>
      <w:pPr>
        <w:spacing w:after="60" w:line="360" w:lineRule="auto"/>
        <w:ind w:left="525" w:hanging="525" w:hangingChars="250"/>
        <w:rPr>
          <w:b/>
          <w:sz w:val="21"/>
          <w:szCs w:val="21"/>
          <w:lang w:val="en-US"/>
        </w:rPr>
      </w:pPr>
      <w:r>
        <w:rPr>
          <w:bCs/>
          <w:sz w:val="21"/>
          <w:szCs w:val="21"/>
        </w:rPr>
        <w:t>2</w:t>
      </w:r>
      <w:r>
        <w:rPr>
          <w:bCs/>
          <w:sz w:val="21"/>
          <w:szCs w:val="21"/>
          <w:lang w:val="en-US"/>
        </w:rPr>
        <w:t>4</w:t>
      </w:r>
      <w:r>
        <w:rPr>
          <w:bCs/>
          <w:sz w:val="21"/>
          <w:szCs w:val="21"/>
        </w:rPr>
        <w:t>.</w:t>
      </w:r>
      <w:r>
        <w:rPr>
          <w:bCs/>
          <w:sz w:val="21"/>
          <w:szCs w:val="21"/>
          <w:lang w:val="en-US"/>
        </w:rPr>
        <w:t>5</w:t>
      </w:r>
      <w:r>
        <w:rPr>
          <w:rFonts w:hint="eastAsia"/>
          <w:bCs/>
          <w:sz w:val="21"/>
          <w:szCs w:val="21"/>
        </w:rPr>
        <w:t>采购代理机构在收到供应商的有效书面质疑后七个工作日内作出答复，但答复的内容不涉及商业秘密，质疑供应商对采购人、采购代理机构的质疑答复不满意，或采购人、采购代理机构未在规定期限内作出答复的，可以在答复期满后十五个工作日内向同级采购监督管理部门提出投诉。</w:t>
      </w:r>
    </w:p>
    <w:p>
      <w:pPr>
        <w:spacing w:before="120" w:beforeLines="50" w:after="120" w:afterLines="50" w:line="360" w:lineRule="auto"/>
        <w:outlineLvl w:val="1"/>
        <w:rPr>
          <w:b/>
          <w:sz w:val="21"/>
          <w:szCs w:val="21"/>
          <w:lang w:val="en-US"/>
        </w:rPr>
      </w:pPr>
      <w:bookmarkStart w:id="181" w:name="_Toc17964"/>
      <w:bookmarkStart w:id="182" w:name="_Toc11104"/>
      <w:bookmarkStart w:id="183" w:name="_Toc23203"/>
      <w:r>
        <w:rPr>
          <w:rFonts w:hint="eastAsia"/>
          <w:b/>
          <w:sz w:val="21"/>
          <w:szCs w:val="21"/>
          <w:lang w:val="en-US"/>
        </w:rPr>
        <w:t>十、合同</w:t>
      </w:r>
      <w:bookmarkEnd w:id="180"/>
      <w:bookmarkEnd w:id="181"/>
      <w:bookmarkEnd w:id="182"/>
      <w:bookmarkEnd w:id="183"/>
    </w:p>
    <w:p>
      <w:pPr>
        <w:spacing w:before="60" w:beforeLines="25" w:after="60" w:afterLines="25" w:line="360" w:lineRule="auto"/>
        <w:rPr>
          <w:sz w:val="21"/>
          <w:szCs w:val="21"/>
        </w:rPr>
      </w:pPr>
      <w:r>
        <w:rPr>
          <w:sz w:val="21"/>
          <w:szCs w:val="21"/>
          <w:lang w:val="en-US"/>
        </w:rPr>
        <w:t xml:space="preserve">25. </w:t>
      </w:r>
      <w:r>
        <w:rPr>
          <w:rFonts w:hint="eastAsia"/>
          <w:sz w:val="21"/>
          <w:szCs w:val="21"/>
          <w:lang w:val="en-US"/>
        </w:rPr>
        <w:t>合同的订立</w:t>
      </w:r>
    </w:p>
    <w:p>
      <w:pPr>
        <w:spacing w:before="60" w:beforeLines="25" w:after="60" w:afterLines="25" w:line="360" w:lineRule="auto"/>
        <w:ind w:left="525" w:hanging="525" w:hangingChars="250"/>
        <w:rPr>
          <w:sz w:val="21"/>
          <w:szCs w:val="21"/>
        </w:rPr>
      </w:pPr>
      <w:r>
        <w:rPr>
          <w:sz w:val="21"/>
          <w:szCs w:val="21"/>
          <w:lang w:val="en-US"/>
        </w:rPr>
        <w:t xml:space="preserve">25.1 </w:t>
      </w:r>
      <w:r>
        <w:rPr>
          <w:rFonts w:hint="eastAsia"/>
          <w:sz w:val="21"/>
          <w:szCs w:val="21"/>
          <w:lang w:val="en-US"/>
        </w:rPr>
        <w:t>除非磋商文件另有规定，采购人应当自《成交通知书》发出之日起二十日内，按照磋商文件要求和成交供应商响应文件承诺签订采购合同，但不得超出磋商文件和成交供应商响应文件的范围、也不得再行订立背离响应文件确定的合同文本以及采购标的、规格型号、采购金额、采购数量、技术和服务要求等实质性内容的协议。</w:t>
      </w:r>
    </w:p>
    <w:p>
      <w:pPr>
        <w:spacing w:before="60" w:beforeLines="25" w:after="60" w:afterLines="25" w:line="360" w:lineRule="auto"/>
        <w:ind w:left="525" w:hanging="525" w:hangingChars="250"/>
        <w:rPr>
          <w:sz w:val="21"/>
          <w:szCs w:val="21"/>
        </w:rPr>
      </w:pPr>
      <w:r>
        <w:rPr>
          <w:sz w:val="21"/>
          <w:szCs w:val="21"/>
          <w:lang w:val="en-US"/>
        </w:rPr>
        <w:t xml:space="preserve">25.2 </w:t>
      </w:r>
      <w:r>
        <w:rPr>
          <w:rFonts w:hint="eastAsia"/>
          <w:sz w:val="21"/>
          <w:szCs w:val="21"/>
          <w:lang w:val="en-US"/>
        </w:rPr>
        <w:t>成交供应商拒绝签订采购合同的，采购人可以与排位在成交供应商之后第一位的成交候选人签订采购合同，也可以重新开展采购活动。</w:t>
      </w:r>
    </w:p>
    <w:p>
      <w:pPr>
        <w:spacing w:before="60" w:beforeLines="25" w:after="60" w:afterLines="25" w:line="360" w:lineRule="auto"/>
        <w:ind w:left="525" w:hanging="525" w:hangingChars="250"/>
        <w:rPr>
          <w:sz w:val="21"/>
          <w:szCs w:val="21"/>
          <w:lang w:val="en-US"/>
        </w:rPr>
      </w:pPr>
      <w:r>
        <w:rPr>
          <w:sz w:val="21"/>
          <w:szCs w:val="21"/>
          <w:lang w:val="en-US"/>
        </w:rPr>
        <w:t xml:space="preserve">25.3 </w:t>
      </w:r>
      <w:r>
        <w:rPr>
          <w:rFonts w:hint="eastAsia"/>
          <w:sz w:val="21"/>
          <w:szCs w:val="21"/>
          <w:lang w:val="en-US"/>
        </w:rPr>
        <w:t>签订采购合同后七个工作日内，采购人应将采购合同副本报同级采购监督管理部门备案。</w:t>
      </w:r>
    </w:p>
    <w:p>
      <w:pPr>
        <w:spacing w:before="60" w:beforeLines="25" w:after="60" w:afterLines="25" w:line="360" w:lineRule="auto"/>
        <w:rPr>
          <w:sz w:val="21"/>
          <w:szCs w:val="21"/>
        </w:rPr>
      </w:pPr>
      <w:r>
        <w:rPr>
          <w:sz w:val="21"/>
          <w:szCs w:val="21"/>
          <w:lang w:val="en-US"/>
        </w:rPr>
        <w:t xml:space="preserve">26. </w:t>
      </w:r>
      <w:r>
        <w:rPr>
          <w:rFonts w:hint="eastAsia"/>
          <w:sz w:val="21"/>
          <w:szCs w:val="21"/>
          <w:lang w:val="en-US"/>
        </w:rPr>
        <w:t>合同的履行</w:t>
      </w:r>
    </w:p>
    <w:p>
      <w:pPr>
        <w:spacing w:before="60" w:beforeLines="25" w:after="60" w:afterLines="25" w:line="360" w:lineRule="auto"/>
        <w:ind w:left="525" w:hanging="525" w:hangingChars="250"/>
        <w:rPr>
          <w:sz w:val="21"/>
          <w:szCs w:val="21"/>
        </w:rPr>
      </w:pPr>
      <w:r>
        <w:rPr>
          <w:sz w:val="21"/>
          <w:szCs w:val="21"/>
          <w:lang w:val="en-US"/>
        </w:rPr>
        <w:t xml:space="preserve">26.1 </w:t>
      </w:r>
      <w:r>
        <w:rPr>
          <w:rFonts w:hint="eastAsia"/>
          <w:sz w:val="21"/>
          <w:szCs w:val="21"/>
          <w:lang w:val="en-US"/>
        </w:rPr>
        <w:t>采购合同订立后，合同各方不得擅自变更、中止或者终止合同。采购合同需要变更的，采购人应将有关合同变更内容，以书面形式报同级采购监督管理部门备案；因特殊情况需要中止或终止合同的，采购人应将中止或终止合同的理由以及相应措施，以书面形式报同级采购监督管理部门备案。</w:t>
      </w:r>
    </w:p>
    <w:p>
      <w:pPr>
        <w:spacing w:before="60" w:beforeLines="25" w:after="60" w:afterLines="25" w:line="360" w:lineRule="auto"/>
        <w:ind w:left="525" w:hanging="525" w:hangingChars="250"/>
        <w:rPr>
          <w:sz w:val="21"/>
          <w:szCs w:val="21"/>
        </w:rPr>
      </w:pPr>
      <w:r>
        <w:rPr>
          <w:sz w:val="21"/>
          <w:szCs w:val="21"/>
          <w:lang w:val="en-US"/>
        </w:rPr>
        <w:t xml:space="preserve">26.2 </w:t>
      </w:r>
      <w:r>
        <w:rPr>
          <w:rFonts w:hint="eastAsia"/>
          <w:sz w:val="21"/>
          <w:szCs w:val="21"/>
          <w:lang w:val="en-US"/>
        </w:rPr>
        <w:t>采购合同履行中，采购人需追加与合同标的相同的货物、工程或者服务的，在不改变合同其他条款的前提下，可以与供应商签订补充合同，但所补充合同的采购金额不得超过原合同采购金额的百分之十。签订补充合同的必须按规定备案。</w:t>
      </w:r>
    </w:p>
    <w:p>
      <w:pPr>
        <w:spacing w:before="120" w:beforeLines="50" w:after="120" w:afterLines="50" w:line="360" w:lineRule="auto"/>
        <w:outlineLvl w:val="1"/>
        <w:rPr>
          <w:b/>
          <w:sz w:val="21"/>
          <w:szCs w:val="21"/>
          <w:lang w:val="en-US"/>
        </w:rPr>
      </w:pPr>
      <w:bookmarkStart w:id="184" w:name="_bookmark23"/>
      <w:bookmarkEnd w:id="184"/>
      <w:bookmarkStart w:id="185" w:name="_Toc12264"/>
      <w:bookmarkStart w:id="186" w:name="_Toc10423"/>
      <w:bookmarkStart w:id="187" w:name="_Toc2167"/>
      <w:bookmarkStart w:id="188" w:name="_Toc13874"/>
      <w:r>
        <w:rPr>
          <w:rFonts w:hint="eastAsia"/>
          <w:b/>
          <w:sz w:val="21"/>
          <w:szCs w:val="21"/>
          <w:lang w:val="en-US"/>
        </w:rPr>
        <w:t>十一、适用法律</w:t>
      </w:r>
      <w:bookmarkEnd w:id="185"/>
      <w:bookmarkEnd w:id="186"/>
      <w:bookmarkEnd w:id="187"/>
      <w:bookmarkEnd w:id="188"/>
    </w:p>
    <w:p>
      <w:pPr>
        <w:spacing w:before="60" w:beforeLines="25" w:after="60" w:afterLines="25" w:line="360" w:lineRule="auto"/>
        <w:ind w:left="420" w:hanging="420" w:hangingChars="200"/>
        <w:rPr>
          <w:sz w:val="21"/>
          <w:szCs w:val="21"/>
        </w:rPr>
      </w:pPr>
      <w:r>
        <w:rPr>
          <w:sz w:val="21"/>
          <w:szCs w:val="21"/>
          <w:lang w:val="en-US"/>
        </w:rPr>
        <w:t xml:space="preserve">27. </w:t>
      </w:r>
      <w:r>
        <w:rPr>
          <w:rFonts w:hint="eastAsia"/>
          <w:sz w:val="21"/>
          <w:szCs w:val="21"/>
          <w:lang w:val="en-US"/>
        </w:rPr>
        <w:t>采购人、采购代理机构及响应供应商的一切采购活动均适用《中华人民共和国政府采购法》及其配套的法规、规章、政策。</w:t>
      </w:r>
    </w:p>
    <w:p>
      <w:pPr>
        <w:widowControl/>
        <w:autoSpaceDE/>
        <w:autoSpaceDN/>
        <w:rPr>
          <w:b/>
          <w:bCs/>
          <w:kern w:val="2"/>
          <w:sz w:val="21"/>
          <w:szCs w:val="21"/>
        </w:rPr>
      </w:pPr>
      <w:r>
        <w:rPr>
          <w:rFonts w:hint="eastAsia"/>
          <w:b/>
          <w:bCs/>
          <w:kern w:val="2"/>
          <w:sz w:val="21"/>
          <w:szCs w:val="21"/>
        </w:rPr>
        <w:t>表一：</w:t>
      </w:r>
      <w:r>
        <w:rPr>
          <w:rFonts w:hint="eastAsia"/>
          <w:b/>
          <w:bCs/>
          <w:sz w:val="21"/>
          <w:szCs w:val="21"/>
        </w:rPr>
        <w:t>资格性和符合性审查表</w:t>
      </w:r>
    </w:p>
    <w:p>
      <w:pPr>
        <w:rPr>
          <w:sz w:val="21"/>
          <w:szCs w:val="21"/>
        </w:rPr>
      </w:pPr>
    </w:p>
    <w:tbl>
      <w:tblPr>
        <w:tblStyle w:val="18"/>
        <w:tblW w:w="91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0"/>
        <w:gridCol w:w="6853"/>
        <w:gridCol w:w="1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7973" w:type="dxa"/>
            <w:gridSpan w:val="2"/>
            <w:vAlign w:val="center"/>
          </w:tcPr>
          <w:p>
            <w:pPr>
              <w:spacing w:before="60" w:beforeLines="25" w:line="360" w:lineRule="auto"/>
              <w:jc w:val="center"/>
              <w:rPr>
                <w:b/>
                <w:bCs/>
                <w:kern w:val="2"/>
                <w:sz w:val="21"/>
                <w:szCs w:val="21"/>
              </w:rPr>
            </w:pPr>
            <w:r>
              <w:rPr>
                <w:rFonts w:hint="eastAsia"/>
                <w:b/>
                <w:bCs/>
                <w:kern w:val="2"/>
                <w:sz w:val="21"/>
                <w:szCs w:val="21"/>
              </w:rPr>
              <w:t>评审内容</w:t>
            </w:r>
          </w:p>
        </w:tc>
        <w:tc>
          <w:tcPr>
            <w:tcW w:w="1164" w:type="dxa"/>
            <w:vAlign w:val="center"/>
          </w:tcPr>
          <w:p>
            <w:pPr>
              <w:spacing w:before="60" w:beforeLines="25" w:line="360" w:lineRule="auto"/>
              <w:jc w:val="center"/>
              <w:rPr>
                <w:b/>
                <w:bCs/>
                <w:kern w:val="2"/>
                <w:sz w:val="21"/>
                <w:szCs w:val="21"/>
              </w:rPr>
            </w:pPr>
            <w:r>
              <w:rPr>
                <w:rFonts w:hint="eastAsia"/>
                <w:b/>
                <w:bCs/>
                <w:kern w:val="2"/>
                <w:sz w:val="21"/>
                <w:szCs w:val="21"/>
              </w:rPr>
              <w:t>供应商核实情况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1120" w:type="dxa"/>
            <w:vMerge w:val="restart"/>
            <w:vAlign w:val="center"/>
          </w:tcPr>
          <w:p>
            <w:pPr>
              <w:spacing w:before="60" w:beforeLines="25" w:line="360" w:lineRule="auto"/>
              <w:jc w:val="both"/>
              <w:rPr>
                <w:kern w:val="2"/>
                <w:sz w:val="21"/>
                <w:szCs w:val="21"/>
              </w:rPr>
            </w:pPr>
            <w:r>
              <w:rPr>
                <w:rFonts w:hint="eastAsia"/>
                <w:kern w:val="2"/>
                <w:sz w:val="21"/>
                <w:szCs w:val="21"/>
              </w:rPr>
              <w:t>资格性审查</w:t>
            </w:r>
          </w:p>
        </w:tc>
        <w:tc>
          <w:tcPr>
            <w:tcW w:w="6853" w:type="dxa"/>
            <w:vAlign w:val="center"/>
          </w:tcPr>
          <w:p>
            <w:pPr>
              <w:spacing w:after="60" w:afterLines="25" w:line="312" w:lineRule="auto"/>
              <w:ind w:firstLine="420" w:firstLineChars="200"/>
              <w:rPr>
                <w:sz w:val="21"/>
                <w:szCs w:val="21"/>
              </w:rPr>
            </w:pPr>
            <w:r>
              <w:rPr>
                <w:rFonts w:hint="eastAsia"/>
                <w:sz w:val="21"/>
                <w:szCs w:val="21"/>
                <w:lang w:val="en-US"/>
              </w:rPr>
              <w:t>响应</w:t>
            </w:r>
            <w:r>
              <w:rPr>
                <w:rFonts w:hint="eastAsia"/>
                <w:sz w:val="21"/>
                <w:szCs w:val="21"/>
              </w:rPr>
              <w:t>供应商应具备《中华人民共和国政府采购法》第二十二条规定的条件，提供下列材料：</w:t>
            </w:r>
          </w:p>
          <w:p>
            <w:pPr>
              <w:spacing w:after="60" w:afterLines="25" w:line="312" w:lineRule="auto"/>
              <w:ind w:firstLine="420" w:firstLineChars="200"/>
              <w:rPr>
                <w:sz w:val="21"/>
                <w:szCs w:val="21"/>
              </w:rPr>
            </w:pPr>
            <w:r>
              <w:rPr>
                <w:rFonts w:hint="eastAsia"/>
                <w:sz w:val="21"/>
                <w:szCs w:val="21"/>
              </w:rPr>
              <w:t>（</w:t>
            </w:r>
            <w:r>
              <w:rPr>
                <w:sz w:val="21"/>
                <w:szCs w:val="21"/>
              </w:rPr>
              <w:t>1）具有独立承担民事责任的能力：在中华人民共和国境内注册的法人或其他组织，磋商响应时提交有效的营业执照（或事业法人登记证等相关证明）复印件。</w:t>
            </w:r>
          </w:p>
          <w:p>
            <w:pPr>
              <w:spacing w:after="60" w:afterLines="25" w:line="312" w:lineRule="auto"/>
              <w:ind w:firstLine="420" w:firstLineChars="200"/>
              <w:rPr>
                <w:sz w:val="21"/>
                <w:szCs w:val="21"/>
                <w:lang w:val="zh-TW"/>
              </w:rPr>
            </w:pPr>
            <w:r>
              <w:rPr>
                <w:rFonts w:hint="eastAsia"/>
                <w:sz w:val="21"/>
                <w:szCs w:val="21"/>
              </w:rPr>
              <w:t>（</w:t>
            </w:r>
            <w:r>
              <w:rPr>
                <w:sz w:val="21"/>
                <w:szCs w:val="21"/>
              </w:rPr>
              <w:t>2）有依法缴纳税收和社会保障资金的良好记录，</w:t>
            </w:r>
            <w:r>
              <w:rPr>
                <w:rFonts w:hint="eastAsia"/>
                <w:sz w:val="21"/>
                <w:szCs w:val="21"/>
                <w:lang w:val="zh-TW"/>
              </w:rPr>
              <w:t>须提供下列任一项证明材料：</w:t>
            </w:r>
          </w:p>
          <w:p>
            <w:pPr>
              <w:spacing w:after="60" w:afterLines="25" w:line="312" w:lineRule="auto"/>
              <w:ind w:firstLine="420" w:firstLineChars="200"/>
              <w:rPr>
                <w:sz w:val="21"/>
                <w:szCs w:val="21"/>
                <w:lang w:val="zh-TW"/>
              </w:rPr>
            </w:pPr>
            <w:r>
              <w:rPr>
                <w:rFonts w:hint="eastAsia"/>
                <w:sz w:val="21"/>
                <w:szCs w:val="21"/>
                <w:lang w:val="zh-TW"/>
              </w:rPr>
              <w:t>①提供《采购供应商资格信用承诺函》（格式详见响应文件格式</w:t>
            </w:r>
            <w:r>
              <w:rPr>
                <w:sz w:val="21"/>
                <w:szCs w:val="21"/>
                <w:lang w:val="zh-TW"/>
              </w:rPr>
              <w:t xml:space="preserve"> </w:t>
            </w:r>
            <w:r>
              <w:rPr>
                <w:rFonts w:hint="eastAsia"/>
                <w:sz w:val="21"/>
                <w:szCs w:val="21"/>
                <w:lang w:val="zh-TW"/>
              </w:rPr>
              <w:t>附件</w:t>
            </w:r>
            <w:r>
              <w:rPr>
                <w:sz w:val="21"/>
                <w:szCs w:val="21"/>
                <w:lang w:val="zh-TW"/>
              </w:rPr>
              <w:t>4）。</w:t>
            </w:r>
          </w:p>
          <w:p>
            <w:pPr>
              <w:spacing w:after="60" w:afterLines="25" w:line="312" w:lineRule="auto"/>
              <w:ind w:firstLine="420" w:firstLineChars="200"/>
              <w:rPr>
                <w:sz w:val="21"/>
                <w:szCs w:val="21"/>
              </w:rPr>
            </w:pPr>
            <w:r>
              <w:rPr>
                <w:rFonts w:hint="eastAsia"/>
                <w:sz w:val="21"/>
                <w:szCs w:val="21"/>
                <w:lang w:val="zh-TW"/>
              </w:rPr>
              <w:t>②提供扣除磋商公告发布当月往前顺推三个月内任意一个月的依法缴纳税收和社会保障资金的相关材料。如依法免税或不需要缴纳社会保障资金的，提供相应证明材料。</w:t>
            </w:r>
          </w:p>
          <w:p>
            <w:pPr>
              <w:spacing w:after="60" w:afterLines="25" w:line="312" w:lineRule="auto"/>
              <w:ind w:firstLine="420" w:firstLineChars="200"/>
              <w:rPr>
                <w:sz w:val="21"/>
                <w:szCs w:val="21"/>
              </w:rPr>
            </w:pPr>
            <w:r>
              <w:rPr>
                <w:rFonts w:hint="eastAsia"/>
                <w:sz w:val="21"/>
                <w:szCs w:val="21"/>
              </w:rPr>
              <w:t>（</w:t>
            </w:r>
            <w:r>
              <w:rPr>
                <w:sz w:val="21"/>
                <w:szCs w:val="21"/>
              </w:rPr>
              <w:t>3）具有良好的商业信誉和健全的财务会计制度，须提供下列任一项证明材料：</w:t>
            </w:r>
          </w:p>
          <w:p>
            <w:pPr>
              <w:spacing w:after="60" w:afterLines="25" w:line="312" w:lineRule="auto"/>
              <w:ind w:firstLine="420" w:firstLineChars="200"/>
              <w:rPr>
                <w:sz w:val="21"/>
                <w:szCs w:val="21"/>
                <w:lang w:val="zh-TW"/>
              </w:rPr>
            </w:pPr>
            <w:r>
              <w:rPr>
                <w:rFonts w:hint="eastAsia"/>
                <w:sz w:val="21"/>
                <w:szCs w:val="21"/>
                <w:lang w:val="zh-TW"/>
              </w:rPr>
              <w:t>①提供《采购供应商资格信用承诺函》（格式详见响应文件格式</w:t>
            </w:r>
            <w:r>
              <w:rPr>
                <w:sz w:val="21"/>
                <w:szCs w:val="21"/>
                <w:lang w:val="zh-TW"/>
              </w:rPr>
              <w:t xml:space="preserve"> </w:t>
            </w:r>
            <w:r>
              <w:rPr>
                <w:rFonts w:hint="eastAsia"/>
                <w:sz w:val="21"/>
                <w:szCs w:val="21"/>
                <w:lang w:val="zh-TW"/>
              </w:rPr>
              <w:t>附件</w:t>
            </w:r>
            <w:r>
              <w:rPr>
                <w:sz w:val="21"/>
                <w:szCs w:val="21"/>
                <w:lang w:val="zh-TW"/>
              </w:rPr>
              <w:t>4）；</w:t>
            </w:r>
          </w:p>
          <w:p>
            <w:pPr>
              <w:spacing w:after="60" w:afterLines="25" w:line="312" w:lineRule="auto"/>
              <w:ind w:firstLine="420" w:firstLineChars="200"/>
              <w:rPr>
                <w:sz w:val="21"/>
                <w:szCs w:val="21"/>
              </w:rPr>
            </w:pPr>
            <w:r>
              <w:rPr>
                <w:rFonts w:hint="eastAsia"/>
                <w:sz w:val="21"/>
                <w:szCs w:val="21"/>
                <w:lang w:val="zh-TW"/>
              </w:rPr>
              <w:t>②</w:t>
            </w:r>
            <w:r>
              <w:rPr>
                <w:sz w:val="21"/>
                <w:szCs w:val="21"/>
              </w:rPr>
              <w:t>202</w:t>
            </w:r>
            <w:r>
              <w:rPr>
                <w:sz w:val="21"/>
                <w:szCs w:val="21"/>
                <w:lang w:val="en-US"/>
              </w:rPr>
              <w:t>1</w:t>
            </w:r>
            <w:r>
              <w:rPr>
                <w:rFonts w:hint="eastAsia"/>
                <w:sz w:val="21"/>
                <w:szCs w:val="21"/>
              </w:rPr>
              <w:t>年度或</w:t>
            </w:r>
            <w:r>
              <w:rPr>
                <w:sz w:val="21"/>
                <w:szCs w:val="21"/>
              </w:rPr>
              <w:t>202</w:t>
            </w:r>
            <w:r>
              <w:rPr>
                <w:sz w:val="21"/>
                <w:szCs w:val="21"/>
                <w:lang w:val="en-US"/>
              </w:rPr>
              <w:t>2</w:t>
            </w:r>
            <w:r>
              <w:rPr>
                <w:rFonts w:hint="eastAsia"/>
                <w:sz w:val="21"/>
                <w:szCs w:val="21"/>
              </w:rPr>
              <w:t>年度经审计的财务报告及财务报表（资产负债表、利润表和现金流量表）复印件（要求：审计报告由第三方会计师事务所或其他合法审计机构出具，须包含会计师事务所或审计机构的盖章页）；</w:t>
            </w:r>
          </w:p>
          <w:p>
            <w:pPr>
              <w:spacing w:after="60" w:afterLines="25" w:line="312" w:lineRule="auto"/>
              <w:ind w:firstLine="420" w:firstLineChars="200"/>
              <w:rPr>
                <w:sz w:val="21"/>
                <w:szCs w:val="21"/>
              </w:rPr>
            </w:pPr>
            <w:r>
              <w:rPr>
                <w:rFonts w:hint="eastAsia"/>
                <w:sz w:val="21"/>
                <w:szCs w:val="21"/>
              </w:rPr>
              <w:t>③基本开户银行出具</w:t>
            </w:r>
            <w:r>
              <w:rPr>
                <w:sz w:val="21"/>
                <w:szCs w:val="21"/>
              </w:rPr>
              <w:t>202</w:t>
            </w:r>
            <w:r>
              <w:rPr>
                <w:sz w:val="21"/>
                <w:szCs w:val="21"/>
                <w:lang w:val="en-US"/>
              </w:rPr>
              <w:t>3</w:t>
            </w:r>
            <w:r>
              <w:rPr>
                <w:rFonts w:hint="eastAsia"/>
                <w:sz w:val="21"/>
                <w:szCs w:val="21"/>
              </w:rPr>
              <w:t>年度任意</w:t>
            </w:r>
            <w:r>
              <w:rPr>
                <w:sz w:val="21"/>
                <w:szCs w:val="21"/>
              </w:rPr>
              <w:t>1个月的资信证明，如资信证明不能体现基本开户账户的，应另附开户许可证。无开户许可证的，可提供由银行开具的《基本存款账户信息》（公户账户主档）或其他相关证明资料，以上文件均需加盖银行印章。</w:t>
            </w:r>
          </w:p>
          <w:p>
            <w:pPr>
              <w:spacing w:after="60" w:afterLines="25" w:line="312" w:lineRule="auto"/>
              <w:ind w:firstLine="420" w:firstLineChars="200"/>
              <w:rPr>
                <w:sz w:val="21"/>
                <w:szCs w:val="21"/>
              </w:rPr>
            </w:pPr>
            <w:r>
              <w:rPr>
                <w:rFonts w:hint="eastAsia"/>
                <w:sz w:val="21"/>
                <w:szCs w:val="21"/>
              </w:rPr>
              <w:t>（</w:t>
            </w:r>
            <w:r>
              <w:rPr>
                <w:sz w:val="21"/>
                <w:szCs w:val="21"/>
              </w:rPr>
              <w:t>4）履行合同所必须的设备和专业技术能力：按响应文件格式填报设备及专业技术能力情况。</w:t>
            </w:r>
          </w:p>
          <w:p>
            <w:pPr>
              <w:spacing w:after="60" w:afterLines="25" w:line="312" w:lineRule="auto"/>
              <w:ind w:firstLine="420" w:firstLineChars="200"/>
              <w:rPr>
                <w:sz w:val="21"/>
                <w:szCs w:val="21"/>
                <w:lang w:val="zh-TW"/>
              </w:rPr>
            </w:pPr>
            <w:r>
              <w:rPr>
                <w:rFonts w:hint="eastAsia"/>
                <w:sz w:val="21"/>
                <w:szCs w:val="21"/>
              </w:rPr>
              <w:t>（</w:t>
            </w:r>
            <w:r>
              <w:rPr>
                <w:sz w:val="21"/>
                <w:szCs w:val="21"/>
              </w:rPr>
              <w:t>5）参加采购活动前3年内，在经营活动中没有重大违法记录，</w:t>
            </w:r>
            <w:r>
              <w:rPr>
                <w:rFonts w:hint="eastAsia"/>
                <w:sz w:val="21"/>
                <w:szCs w:val="21"/>
                <w:lang w:val="zh-TW"/>
              </w:rPr>
              <w:t>须提供下列任一项证明材料：</w:t>
            </w:r>
          </w:p>
          <w:p>
            <w:pPr>
              <w:spacing w:after="60" w:afterLines="25" w:line="312" w:lineRule="auto"/>
              <w:ind w:firstLine="420" w:firstLineChars="200"/>
              <w:rPr>
                <w:sz w:val="21"/>
                <w:szCs w:val="21"/>
                <w:lang w:val="zh-TW"/>
              </w:rPr>
            </w:pPr>
            <w:r>
              <w:rPr>
                <w:rFonts w:hint="eastAsia"/>
                <w:sz w:val="21"/>
                <w:szCs w:val="21"/>
                <w:lang w:val="zh-TW"/>
              </w:rPr>
              <w:t>①提供《采购供应商资格信用承诺函》（格式详见响应文件格式</w:t>
            </w:r>
            <w:r>
              <w:rPr>
                <w:sz w:val="21"/>
                <w:szCs w:val="21"/>
                <w:lang w:val="zh-TW"/>
              </w:rPr>
              <w:t xml:space="preserve"> </w:t>
            </w:r>
            <w:r>
              <w:rPr>
                <w:rFonts w:hint="eastAsia"/>
                <w:sz w:val="21"/>
                <w:szCs w:val="21"/>
                <w:lang w:val="zh-TW"/>
              </w:rPr>
              <w:t>附件</w:t>
            </w:r>
            <w:r>
              <w:rPr>
                <w:sz w:val="21"/>
                <w:szCs w:val="21"/>
                <w:lang w:val="zh-TW"/>
              </w:rPr>
              <w:t>4）。</w:t>
            </w:r>
          </w:p>
          <w:p>
            <w:pPr>
              <w:spacing w:after="60" w:afterLines="25" w:line="312" w:lineRule="auto"/>
              <w:ind w:firstLine="420" w:firstLineChars="200"/>
              <w:rPr>
                <w:sz w:val="21"/>
                <w:szCs w:val="21"/>
              </w:rPr>
            </w:pPr>
            <w:r>
              <w:rPr>
                <w:rFonts w:hint="eastAsia"/>
                <w:sz w:val="21"/>
                <w:szCs w:val="21"/>
                <w:lang w:val="zh-TW"/>
              </w:rPr>
              <w:t>②按响应文件格式填报参加采购活动前</w:t>
            </w:r>
            <w:r>
              <w:rPr>
                <w:sz w:val="21"/>
                <w:szCs w:val="21"/>
                <w:lang w:val="zh-TW"/>
              </w:rPr>
              <w:t>3年内在经营活动中没有重大违法记录。</w:t>
            </w:r>
          </w:p>
          <w:p>
            <w:pPr>
              <w:spacing w:after="60" w:afterLines="25" w:line="312" w:lineRule="auto"/>
              <w:ind w:firstLine="420" w:firstLineChars="200"/>
              <w:rPr>
                <w:sz w:val="21"/>
                <w:szCs w:val="21"/>
              </w:rPr>
            </w:pPr>
            <w:r>
              <w:rPr>
                <w:rFonts w:hint="eastAsia"/>
                <w:sz w:val="21"/>
                <w:szCs w:val="21"/>
              </w:rPr>
              <w:t>（</w:t>
            </w:r>
            <w:r>
              <w:rPr>
                <w:sz w:val="21"/>
                <w:szCs w:val="21"/>
                <w:lang w:val="en-US"/>
              </w:rPr>
              <w:t>6</w:t>
            </w:r>
            <w:r>
              <w:rPr>
                <w:rFonts w:hint="eastAsia"/>
                <w:sz w:val="21"/>
                <w:szCs w:val="21"/>
              </w:rPr>
              <w:t>）供应商必须符合法律、行政法规规定的其他条件：</w:t>
            </w:r>
          </w:p>
          <w:p>
            <w:pPr>
              <w:spacing w:after="60" w:afterLines="25" w:line="312" w:lineRule="auto"/>
              <w:ind w:firstLine="420" w:firstLineChars="200"/>
              <w:rPr>
                <w:sz w:val="21"/>
                <w:szCs w:val="21"/>
              </w:rPr>
            </w:pPr>
            <w:r>
              <w:rPr>
                <w:sz w:val="21"/>
                <w:szCs w:val="21"/>
              </w:rPr>
              <w:t>1）为采购项目提供整体设计、规范编制或者项目管理、监理、检测等服务的供应商，不得再参加该采购项目的其他采购活动</w:t>
            </w:r>
            <w:r>
              <w:rPr>
                <w:rFonts w:hint="eastAsia"/>
                <w:b/>
                <w:bCs/>
                <w:sz w:val="21"/>
                <w:szCs w:val="21"/>
              </w:rPr>
              <w:t>（供应商须提供《关于资格的声明函》）</w:t>
            </w:r>
            <w:r>
              <w:rPr>
                <w:rFonts w:hint="eastAsia"/>
                <w:sz w:val="21"/>
                <w:szCs w:val="21"/>
              </w:rPr>
              <w:t>；</w:t>
            </w:r>
          </w:p>
          <w:p>
            <w:pPr>
              <w:spacing w:after="60" w:afterLines="25" w:line="312" w:lineRule="auto"/>
              <w:ind w:firstLine="420" w:firstLineChars="200"/>
              <w:rPr>
                <w:kern w:val="2"/>
                <w:sz w:val="21"/>
                <w:szCs w:val="21"/>
              </w:rPr>
            </w:pPr>
            <w:r>
              <w:rPr>
                <w:sz w:val="21"/>
                <w:szCs w:val="21"/>
              </w:rPr>
              <w:t>2）</w:t>
            </w:r>
            <w:r>
              <w:rPr>
                <w:rFonts w:hint="eastAsia"/>
                <w:sz w:val="21"/>
                <w:szCs w:val="21"/>
                <w:lang w:val="en-US"/>
              </w:rPr>
              <w:t>单位负责人为同一人或者存在直接控股、管理关系的不同供应商，不得参加同一合同项下的采购活动</w:t>
            </w:r>
            <w:r>
              <w:rPr>
                <w:rFonts w:hint="eastAsia"/>
                <w:b/>
                <w:bCs/>
                <w:sz w:val="21"/>
                <w:szCs w:val="21"/>
                <w:lang w:val="en-US"/>
              </w:rPr>
              <w:t>（供应商须提供《关于资格的声明函》）</w:t>
            </w:r>
            <w:r>
              <w:rPr>
                <w:rFonts w:hint="eastAsia"/>
                <w:sz w:val="21"/>
                <w:szCs w:val="21"/>
              </w:rPr>
              <w:t>；</w:t>
            </w:r>
          </w:p>
        </w:tc>
        <w:tc>
          <w:tcPr>
            <w:tcW w:w="1164" w:type="dxa"/>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120" w:type="dxa"/>
            <w:vMerge w:val="continue"/>
            <w:tcBorders>
              <w:top w:val="nil"/>
            </w:tcBorders>
            <w:vAlign w:val="center"/>
          </w:tcPr>
          <w:p>
            <w:pPr>
              <w:spacing w:before="60" w:beforeLines="25" w:line="360" w:lineRule="auto"/>
              <w:rPr>
                <w:kern w:val="2"/>
                <w:sz w:val="21"/>
                <w:szCs w:val="21"/>
              </w:rPr>
            </w:pPr>
          </w:p>
        </w:tc>
        <w:tc>
          <w:tcPr>
            <w:tcW w:w="6853" w:type="dxa"/>
            <w:vAlign w:val="center"/>
          </w:tcPr>
          <w:p>
            <w:pPr>
              <w:spacing w:after="60" w:afterLines="25" w:line="312" w:lineRule="auto"/>
              <w:rPr>
                <w:kern w:val="2"/>
                <w:sz w:val="21"/>
                <w:szCs w:val="21"/>
              </w:rPr>
            </w:pPr>
            <w:r>
              <w:rPr>
                <w:rFonts w:hint="eastAsia"/>
                <w:sz w:val="21"/>
                <w:szCs w:val="21"/>
              </w:rPr>
              <w:t>供应商须具有有效的建设行政主管部门核发的</w:t>
            </w:r>
            <w:r>
              <w:rPr>
                <w:rFonts w:hint="eastAsia"/>
                <w:sz w:val="21"/>
                <w:szCs w:val="21"/>
                <w:lang w:val="en-US"/>
              </w:rPr>
              <w:t>市政公用</w:t>
            </w:r>
            <w:r>
              <w:rPr>
                <w:rFonts w:hint="eastAsia"/>
                <w:sz w:val="21"/>
                <w:szCs w:val="21"/>
              </w:rPr>
              <w:t>工程</w:t>
            </w:r>
            <w:r>
              <w:rPr>
                <w:rFonts w:hint="eastAsia"/>
                <w:sz w:val="21"/>
                <w:szCs w:val="21"/>
                <w:lang w:val="en-US"/>
              </w:rPr>
              <w:t>施工总</w:t>
            </w:r>
            <w:r>
              <w:rPr>
                <w:rFonts w:hint="eastAsia"/>
                <w:sz w:val="21"/>
                <w:szCs w:val="21"/>
              </w:rPr>
              <w:t>承包二级（或以上）资质；</w:t>
            </w:r>
          </w:p>
        </w:tc>
        <w:tc>
          <w:tcPr>
            <w:tcW w:w="1164" w:type="dxa"/>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1120" w:type="dxa"/>
            <w:vMerge w:val="continue"/>
            <w:tcBorders>
              <w:top w:val="nil"/>
            </w:tcBorders>
            <w:vAlign w:val="center"/>
          </w:tcPr>
          <w:p>
            <w:pPr>
              <w:spacing w:before="60" w:beforeLines="25" w:line="360" w:lineRule="auto"/>
              <w:rPr>
                <w:kern w:val="2"/>
                <w:sz w:val="21"/>
                <w:szCs w:val="21"/>
              </w:rPr>
            </w:pPr>
          </w:p>
        </w:tc>
        <w:tc>
          <w:tcPr>
            <w:tcW w:w="6853" w:type="dxa"/>
            <w:vAlign w:val="center"/>
          </w:tcPr>
          <w:p>
            <w:pPr>
              <w:spacing w:after="60" w:afterLines="25" w:line="312" w:lineRule="auto"/>
              <w:rPr>
                <w:kern w:val="2"/>
                <w:sz w:val="21"/>
                <w:szCs w:val="21"/>
                <w:lang w:val="en-US"/>
              </w:rPr>
            </w:pPr>
            <w:r>
              <w:rPr>
                <w:rFonts w:hint="eastAsia"/>
                <w:sz w:val="21"/>
                <w:szCs w:val="21"/>
                <w:lang w:val="en-US"/>
              </w:rPr>
              <w:t>供应商必须具备建设行政主管部门颁发的有效《安全生产许可证》；</w:t>
            </w:r>
          </w:p>
        </w:tc>
        <w:tc>
          <w:tcPr>
            <w:tcW w:w="1164" w:type="dxa"/>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1120" w:type="dxa"/>
            <w:vMerge w:val="continue"/>
            <w:tcBorders>
              <w:top w:val="nil"/>
            </w:tcBorders>
            <w:vAlign w:val="center"/>
          </w:tcPr>
          <w:p>
            <w:pPr>
              <w:spacing w:before="60" w:beforeLines="25" w:line="360" w:lineRule="auto"/>
              <w:rPr>
                <w:kern w:val="2"/>
                <w:sz w:val="21"/>
                <w:szCs w:val="21"/>
              </w:rPr>
            </w:pPr>
          </w:p>
        </w:tc>
        <w:tc>
          <w:tcPr>
            <w:tcW w:w="6853" w:type="dxa"/>
            <w:vAlign w:val="center"/>
          </w:tcPr>
          <w:p>
            <w:pPr>
              <w:spacing w:after="60" w:afterLines="25" w:line="312" w:lineRule="auto"/>
              <w:rPr>
                <w:kern w:val="2"/>
                <w:sz w:val="21"/>
                <w:szCs w:val="21"/>
              </w:rPr>
            </w:pPr>
            <w:r>
              <w:rPr>
                <w:rFonts w:hint="eastAsia"/>
                <w:sz w:val="21"/>
                <w:szCs w:val="21"/>
                <w:lang w:val="en-US"/>
              </w:rPr>
              <w:t>供应商应有良好信誉，且持有佛山市建筑诚信评价体系管理平台中办理登记并获得对应行业的有效的建筑行业诚信档案，佛山市建筑诚信评价体系管理平台的考评等级为</w:t>
            </w:r>
            <w:r>
              <w:rPr>
                <w:sz w:val="21"/>
                <w:szCs w:val="21"/>
                <w:lang w:val="en-US"/>
              </w:rPr>
              <w:t>D</w:t>
            </w:r>
            <w:r>
              <w:rPr>
                <w:rFonts w:hint="eastAsia"/>
                <w:sz w:val="21"/>
                <w:szCs w:val="21"/>
                <w:lang w:val="en-US"/>
              </w:rPr>
              <w:t>级或以上且状态显示为“正常”（以资格审查当天的查询结果为准）；</w:t>
            </w:r>
          </w:p>
        </w:tc>
        <w:tc>
          <w:tcPr>
            <w:tcW w:w="1164" w:type="dxa"/>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jc w:val="center"/>
        </w:trPr>
        <w:tc>
          <w:tcPr>
            <w:tcW w:w="1120" w:type="dxa"/>
            <w:vMerge w:val="continue"/>
            <w:tcBorders>
              <w:top w:val="nil"/>
            </w:tcBorders>
            <w:vAlign w:val="center"/>
          </w:tcPr>
          <w:p>
            <w:pPr>
              <w:spacing w:before="60" w:beforeLines="25" w:line="360" w:lineRule="auto"/>
              <w:rPr>
                <w:kern w:val="2"/>
                <w:sz w:val="21"/>
                <w:szCs w:val="21"/>
              </w:rPr>
            </w:pPr>
          </w:p>
        </w:tc>
        <w:tc>
          <w:tcPr>
            <w:tcW w:w="6853" w:type="dxa"/>
            <w:vAlign w:val="center"/>
          </w:tcPr>
          <w:p>
            <w:pPr>
              <w:spacing w:after="60" w:afterLines="25" w:line="312" w:lineRule="auto"/>
              <w:rPr>
                <w:kern w:val="2"/>
                <w:sz w:val="21"/>
                <w:szCs w:val="21"/>
              </w:rPr>
            </w:pPr>
            <w:r>
              <w:rPr>
                <w:rFonts w:hint="eastAsia"/>
                <w:sz w:val="21"/>
                <w:szCs w:val="21"/>
              </w:rPr>
              <w:t>广东省以外的</w:t>
            </w:r>
            <w:r>
              <w:rPr>
                <w:rFonts w:hint="eastAsia"/>
                <w:sz w:val="21"/>
                <w:szCs w:val="21"/>
                <w:lang w:val="en-US"/>
              </w:rPr>
              <w:t>供应商</w:t>
            </w:r>
            <w:r>
              <w:rPr>
                <w:rFonts w:hint="eastAsia"/>
                <w:sz w:val="21"/>
                <w:szCs w:val="21"/>
              </w:rPr>
              <w:t>，须提供在广东建设信息网（网址：</w:t>
            </w:r>
            <w:r>
              <w:rPr>
                <w:sz w:val="21"/>
                <w:szCs w:val="21"/>
              </w:rPr>
              <w:t>www.gdcic.net）“进粤企业和人员诚信信息登记平台”专栏关于供应商进粤企业及人员信息登记的网页打印件</w:t>
            </w:r>
            <w:r>
              <w:rPr>
                <w:rFonts w:hint="eastAsia"/>
                <w:sz w:val="21"/>
                <w:szCs w:val="21"/>
                <w:lang w:val="en-US"/>
              </w:rPr>
              <w:t>；</w:t>
            </w:r>
          </w:p>
        </w:tc>
        <w:tc>
          <w:tcPr>
            <w:tcW w:w="1164" w:type="dxa"/>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jc w:val="center"/>
        </w:trPr>
        <w:tc>
          <w:tcPr>
            <w:tcW w:w="1120" w:type="dxa"/>
            <w:vMerge w:val="continue"/>
            <w:tcBorders>
              <w:top w:val="nil"/>
            </w:tcBorders>
            <w:vAlign w:val="center"/>
          </w:tcPr>
          <w:p>
            <w:pPr>
              <w:spacing w:before="60" w:beforeLines="25" w:line="360" w:lineRule="auto"/>
              <w:rPr>
                <w:kern w:val="2"/>
                <w:sz w:val="21"/>
                <w:szCs w:val="21"/>
              </w:rPr>
            </w:pPr>
          </w:p>
        </w:tc>
        <w:tc>
          <w:tcPr>
            <w:tcW w:w="6853" w:type="dxa"/>
            <w:vAlign w:val="center"/>
          </w:tcPr>
          <w:p>
            <w:pPr>
              <w:spacing w:before="60" w:beforeLines="25" w:line="360" w:lineRule="auto"/>
              <w:rPr>
                <w:kern w:val="2"/>
                <w:sz w:val="21"/>
                <w:szCs w:val="21"/>
              </w:rPr>
            </w:pPr>
            <w:r>
              <w:rPr>
                <w:rFonts w:hint="eastAsia"/>
                <w:sz w:val="21"/>
                <w:szCs w:val="21"/>
              </w:rPr>
              <w:t>供应商未被列入“信用中国”网站</w:t>
            </w:r>
            <w:r>
              <w:rPr>
                <w:sz w:val="21"/>
                <w:szCs w:val="21"/>
              </w:rPr>
              <w:t>(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磋商截止日当天在“信用中国”网站（ www.creditchina.gov.cn）及中国政府采购网(www.ccgp.gov.cn)查询结果为准，如相关失信记录已失效，供应商需提供相关证明资料】</w:t>
            </w:r>
          </w:p>
        </w:tc>
        <w:tc>
          <w:tcPr>
            <w:tcW w:w="1164" w:type="dxa"/>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1120" w:type="dxa"/>
            <w:vMerge w:val="continue"/>
            <w:tcBorders>
              <w:top w:val="nil"/>
            </w:tcBorders>
            <w:vAlign w:val="center"/>
          </w:tcPr>
          <w:p>
            <w:pPr>
              <w:spacing w:before="60" w:beforeLines="25" w:line="360" w:lineRule="auto"/>
              <w:rPr>
                <w:kern w:val="2"/>
                <w:sz w:val="21"/>
                <w:szCs w:val="21"/>
              </w:rPr>
            </w:pPr>
          </w:p>
        </w:tc>
        <w:tc>
          <w:tcPr>
            <w:tcW w:w="6853" w:type="dxa"/>
            <w:vAlign w:val="center"/>
          </w:tcPr>
          <w:p>
            <w:pPr>
              <w:spacing w:before="60" w:beforeLines="25" w:line="360" w:lineRule="auto"/>
              <w:rPr>
                <w:sz w:val="21"/>
                <w:szCs w:val="21"/>
                <w:lang w:val="en-US"/>
              </w:rPr>
            </w:pPr>
            <w:r>
              <w:rPr>
                <w:rFonts w:hint="eastAsia"/>
                <w:sz w:val="21"/>
                <w:szCs w:val="21"/>
              </w:rPr>
              <w:t>本项目不接受联合体磋商、不允许分包或转包。</w:t>
            </w:r>
          </w:p>
        </w:tc>
        <w:tc>
          <w:tcPr>
            <w:tcW w:w="1164" w:type="dxa"/>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120" w:type="dxa"/>
            <w:vMerge w:val="restart"/>
            <w:tcBorders>
              <w:top w:val="single" w:color="auto" w:sz="4" w:space="0"/>
              <w:left w:val="single" w:color="auto" w:sz="4" w:space="0"/>
              <w:bottom w:val="single" w:color="auto" w:sz="4" w:space="0"/>
            </w:tcBorders>
            <w:vAlign w:val="center"/>
          </w:tcPr>
          <w:p>
            <w:pPr>
              <w:spacing w:before="60" w:beforeLines="25" w:line="360" w:lineRule="auto"/>
              <w:rPr>
                <w:kern w:val="2"/>
                <w:sz w:val="21"/>
                <w:szCs w:val="21"/>
              </w:rPr>
            </w:pPr>
            <w:r>
              <w:rPr>
                <w:rFonts w:hint="eastAsia"/>
                <w:sz w:val="21"/>
                <w:szCs w:val="21"/>
                <w:lang w:bidi="ar"/>
              </w:rPr>
              <w:t>符合性审查</w:t>
            </w:r>
          </w:p>
        </w:tc>
        <w:tc>
          <w:tcPr>
            <w:tcW w:w="6853" w:type="dxa"/>
            <w:tcBorders>
              <w:top w:val="single" w:color="auto" w:sz="4" w:space="0"/>
              <w:bottom w:val="single" w:color="auto" w:sz="4" w:space="0"/>
              <w:right w:val="single" w:color="auto" w:sz="4" w:space="0"/>
            </w:tcBorders>
            <w:vAlign w:val="center"/>
          </w:tcPr>
          <w:p>
            <w:pPr>
              <w:widowControl/>
              <w:spacing w:before="60" w:beforeLines="25" w:line="360" w:lineRule="auto"/>
              <w:textAlignment w:val="center"/>
              <w:rPr>
                <w:kern w:val="2"/>
                <w:sz w:val="21"/>
                <w:szCs w:val="21"/>
              </w:rPr>
            </w:pPr>
            <w:r>
              <w:rPr>
                <w:rFonts w:hint="eastAsia"/>
                <w:sz w:val="21"/>
                <w:szCs w:val="21"/>
                <w:lang w:val="en-US" w:bidi="ar"/>
              </w:rPr>
              <w:t>磋商</w:t>
            </w:r>
            <w:r>
              <w:rPr>
                <w:rFonts w:hint="eastAsia"/>
                <w:sz w:val="21"/>
                <w:szCs w:val="21"/>
                <w:lang w:val="zh-TW" w:eastAsia="zh-TW" w:bidi="ar"/>
              </w:rPr>
              <w:t>文件中“★”项内容无负偏离</w:t>
            </w:r>
            <w:r>
              <w:rPr>
                <w:sz w:val="21"/>
                <w:szCs w:val="21"/>
                <w:lang w:val="zh-TW" w:eastAsia="zh-TW" w:bidi="ar"/>
              </w:rPr>
              <w:t>(劣于)</w:t>
            </w:r>
          </w:p>
        </w:tc>
        <w:tc>
          <w:tcPr>
            <w:tcW w:w="1164" w:type="dxa"/>
            <w:tcBorders>
              <w:left w:val="single" w:color="auto" w:sz="4" w:space="0"/>
            </w:tcBorders>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120" w:type="dxa"/>
            <w:vMerge w:val="continue"/>
            <w:tcBorders>
              <w:left w:val="single" w:color="auto" w:sz="4" w:space="0"/>
            </w:tcBorders>
            <w:vAlign w:val="center"/>
          </w:tcPr>
          <w:p>
            <w:pPr>
              <w:spacing w:before="60" w:beforeLines="25" w:line="360" w:lineRule="auto"/>
              <w:rPr>
                <w:sz w:val="21"/>
                <w:szCs w:val="21"/>
                <w:lang w:bidi="ar"/>
              </w:rPr>
            </w:pPr>
          </w:p>
        </w:tc>
        <w:tc>
          <w:tcPr>
            <w:tcW w:w="6853" w:type="dxa"/>
            <w:tcBorders>
              <w:top w:val="single" w:color="auto" w:sz="4" w:space="0"/>
              <w:bottom w:val="single" w:color="auto" w:sz="4" w:space="0"/>
              <w:right w:val="single" w:color="auto" w:sz="4" w:space="0"/>
            </w:tcBorders>
            <w:vAlign w:val="center"/>
          </w:tcPr>
          <w:p>
            <w:pPr>
              <w:widowControl/>
              <w:spacing w:before="60" w:beforeLines="25" w:line="360" w:lineRule="auto"/>
              <w:textAlignment w:val="center"/>
              <w:rPr>
                <w:sz w:val="21"/>
                <w:szCs w:val="21"/>
                <w:lang w:bidi="ar"/>
              </w:rPr>
            </w:pPr>
            <w:r>
              <w:rPr>
                <w:rFonts w:hint="eastAsia"/>
                <w:sz w:val="21"/>
                <w:szCs w:val="21"/>
                <w:lang w:bidi="ar"/>
              </w:rPr>
              <w:t>响应文件符合竞争性磋商文件的式样和签署要求</w:t>
            </w:r>
          </w:p>
        </w:tc>
        <w:tc>
          <w:tcPr>
            <w:tcW w:w="1164" w:type="dxa"/>
            <w:tcBorders>
              <w:left w:val="single" w:color="auto" w:sz="4" w:space="0"/>
            </w:tcBorders>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120" w:type="dxa"/>
            <w:vMerge w:val="continue"/>
            <w:tcBorders>
              <w:top w:val="single" w:color="auto" w:sz="4" w:space="0"/>
              <w:left w:val="single" w:color="auto" w:sz="4" w:space="0"/>
            </w:tcBorders>
            <w:vAlign w:val="center"/>
          </w:tcPr>
          <w:p>
            <w:pPr>
              <w:spacing w:before="60" w:beforeLines="25" w:line="360" w:lineRule="auto"/>
              <w:rPr>
                <w:kern w:val="2"/>
                <w:sz w:val="21"/>
                <w:szCs w:val="21"/>
              </w:rPr>
            </w:pPr>
          </w:p>
        </w:tc>
        <w:tc>
          <w:tcPr>
            <w:tcW w:w="6853" w:type="dxa"/>
            <w:tcBorders>
              <w:top w:val="single" w:color="auto" w:sz="4" w:space="0"/>
              <w:right w:val="single" w:color="auto" w:sz="4" w:space="0"/>
            </w:tcBorders>
            <w:vAlign w:val="center"/>
          </w:tcPr>
          <w:p>
            <w:pPr>
              <w:widowControl/>
              <w:spacing w:before="60" w:beforeLines="25" w:line="360" w:lineRule="auto"/>
              <w:textAlignment w:val="center"/>
              <w:rPr>
                <w:kern w:val="2"/>
                <w:sz w:val="21"/>
                <w:szCs w:val="21"/>
              </w:rPr>
            </w:pPr>
            <w:r>
              <w:rPr>
                <w:rFonts w:hint="eastAsia"/>
                <w:sz w:val="21"/>
                <w:szCs w:val="21"/>
                <w:lang w:bidi="ar"/>
              </w:rPr>
              <w:t>磋商有效期是否为</w:t>
            </w:r>
            <w:r>
              <w:rPr>
                <w:sz w:val="21"/>
                <w:szCs w:val="21"/>
                <w:lang w:bidi="ar"/>
              </w:rPr>
              <w:t>90天</w:t>
            </w:r>
          </w:p>
        </w:tc>
        <w:tc>
          <w:tcPr>
            <w:tcW w:w="1164" w:type="dxa"/>
            <w:tcBorders>
              <w:left w:val="single" w:color="auto" w:sz="4" w:space="0"/>
            </w:tcBorders>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120" w:type="dxa"/>
            <w:vMerge w:val="continue"/>
            <w:tcBorders>
              <w:left w:val="single" w:color="auto" w:sz="4" w:space="0"/>
            </w:tcBorders>
            <w:vAlign w:val="center"/>
          </w:tcPr>
          <w:p>
            <w:pPr>
              <w:spacing w:before="60" w:beforeLines="25" w:line="360" w:lineRule="auto"/>
              <w:rPr>
                <w:kern w:val="2"/>
                <w:sz w:val="21"/>
                <w:szCs w:val="21"/>
              </w:rPr>
            </w:pPr>
          </w:p>
        </w:tc>
        <w:tc>
          <w:tcPr>
            <w:tcW w:w="6853" w:type="dxa"/>
            <w:tcBorders>
              <w:right w:val="single" w:color="auto" w:sz="4" w:space="0"/>
            </w:tcBorders>
            <w:vAlign w:val="center"/>
          </w:tcPr>
          <w:p>
            <w:pPr>
              <w:widowControl/>
              <w:spacing w:before="60" w:beforeLines="25" w:line="360" w:lineRule="auto"/>
              <w:textAlignment w:val="center"/>
              <w:rPr>
                <w:kern w:val="2"/>
                <w:sz w:val="21"/>
                <w:szCs w:val="21"/>
              </w:rPr>
            </w:pPr>
            <w:r>
              <w:rPr>
                <w:rFonts w:hint="eastAsia"/>
                <w:sz w:val="21"/>
                <w:szCs w:val="21"/>
                <w:lang w:bidi="ar"/>
              </w:rPr>
              <w:t>商务和服务内容无重大偏离“采购项目内容”的要求</w:t>
            </w:r>
          </w:p>
        </w:tc>
        <w:tc>
          <w:tcPr>
            <w:tcW w:w="1164" w:type="dxa"/>
            <w:tcBorders>
              <w:left w:val="single" w:color="auto" w:sz="4" w:space="0"/>
            </w:tcBorders>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120" w:type="dxa"/>
            <w:vMerge w:val="continue"/>
            <w:tcBorders>
              <w:left w:val="single" w:color="auto" w:sz="4" w:space="0"/>
            </w:tcBorders>
            <w:vAlign w:val="center"/>
          </w:tcPr>
          <w:p>
            <w:pPr>
              <w:spacing w:before="60" w:beforeLines="25" w:line="360" w:lineRule="auto"/>
              <w:rPr>
                <w:kern w:val="2"/>
                <w:sz w:val="21"/>
                <w:szCs w:val="21"/>
              </w:rPr>
            </w:pPr>
          </w:p>
        </w:tc>
        <w:tc>
          <w:tcPr>
            <w:tcW w:w="6853" w:type="dxa"/>
            <w:tcBorders>
              <w:right w:val="single" w:color="auto" w:sz="4" w:space="0"/>
            </w:tcBorders>
            <w:vAlign w:val="center"/>
          </w:tcPr>
          <w:p>
            <w:pPr>
              <w:widowControl/>
              <w:spacing w:before="60" w:beforeLines="25" w:line="360" w:lineRule="auto"/>
              <w:textAlignment w:val="center"/>
              <w:rPr>
                <w:kern w:val="2"/>
                <w:sz w:val="21"/>
                <w:szCs w:val="21"/>
              </w:rPr>
            </w:pPr>
            <w:r>
              <w:rPr>
                <w:rFonts w:hint="eastAsia"/>
                <w:sz w:val="21"/>
                <w:szCs w:val="21"/>
                <w:lang w:bidi="ar"/>
              </w:rPr>
              <w:t>磋商报价是固定唯一价</w:t>
            </w:r>
          </w:p>
        </w:tc>
        <w:tc>
          <w:tcPr>
            <w:tcW w:w="1164" w:type="dxa"/>
            <w:tcBorders>
              <w:left w:val="single" w:color="auto" w:sz="4" w:space="0"/>
            </w:tcBorders>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120" w:type="dxa"/>
            <w:vMerge w:val="continue"/>
            <w:tcBorders>
              <w:left w:val="single" w:color="auto" w:sz="4" w:space="0"/>
            </w:tcBorders>
            <w:vAlign w:val="center"/>
          </w:tcPr>
          <w:p>
            <w:pPr>
              <w:spacing w:before="60" w:beforeLines="25" w:line="360" w:lineRule="auto"/>
              <w:rPr>
                <w:kern w:val="2"/>
                <w:sz w:val="21"/>
                <w:szCs w:val="21"/>
              </w:rPr>
            </w:pPr>
          </w:p>
        </w:tc>
        <w:tc>
          <w:tcPr>
            <w:tcW w:w="6853" w:type="dxa"/>
            <w:tcBorders>
              <w:right w:val="single" w:color="auto" w:sz="4" w:space="0"/>
            </w:tcBorders>
            <w:vAlign w:val="center"/>
          </w:tcPr>
          <w:p>
            <w:pPr>
              <w:widowControl/>
              <w:spacing w:before="60" w:beforeLines="25" w:line="360" w:lineRule="auto"/>
              <w:textAlignment w:val="center"/>
              <w:rPr>
                <w:kern w:val="2"/>
                <w:sz w:val="21"/>
                <w:szCs w:val="21"/>
              </w:rPr>
            </w:pPr>
            <w:r>
              <w:rPr>
                <w:rFonts w:hint="eastAsia"/>
                <w:sz w:val="21"/>
                <w:szCs w:val="21"/>
                <w:lang w:bidi="ar"/>
              </w:rPr>
              <w:t>磋商报价</w:t>
            </w:r>
            <w:r>
              <w:rPr>
                <w:rFonts w:hint="eastAsia"/>
                <w:sz w:val="21"/>
                <w:szCs w:val="21"/>
                <w:lang w:val="en-US"/>
              </w:rPr>
              <w:t>折率≤</w:t>
            </w:r>
            <w:r>
              <w:rPr>
                <w:sz w:val="21"/>
                <w:szCs w:val="21"/>
                <w:lang w:val="en-US"/>
              </w:rPr>
              <w:t>100.00%</w:t>
            </w:r>
          </w:p>
        </w:tc>
        <w:tc>
          <w:tcPr>
            <w:tcW w:w="1164" w:type="dxa"/>
            <w:tcBorders>
              <w:left w:val="single" w:color="auto" w:sz="4" w:space="0"/>
            </w:tcBorders>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120" w:type="dxa"/>
            <w:vMerge w:val="continue"/>
            <w:tcBorders>
              <w:left w:val="single" w:color="auto" w:sz="4" w:space="0"/>
            </w:tcBorders>
            <w:vAlign w:val="center"/>
          </w:tcPr>
          <w:p>
            <w:pPr>
              <w:spacing w:before="60" w:beforeLines="25" w:line="360" w:lineRule="auto"/>
              <w:rPr>
                <w:kern w:val="2"/>
                <w:sz w:val="21"/>
                <w:szCs w:val="21"/>
              </w:rPr>
            </w:pPr>
          </w:p>
        </w:tc>
        <w:tc>
          <w:tcPr>
            <w:tcW w:w="6853" w:type="dxa"/>
            <w:tcBorders>
              <w:right w:val="single" w:color="auto" w:sz="4" w:space="0"/>
            </w:tcBorders>
            <w:vAlign w:val="center"/>
          </w:tcPr>
          <w:p>
            <w:pPr>
              <w:widowControl/>
              <w:spacing w:before="60" w:beforeLines="25" w:line="360" w:lineRule="auto"/>
              <w:textAlignment w:val="center"/>
              <w:rPr>
                <w:kern w:val="2"/>
                <w:sz w:val="21"/>
                <w:szCs w:val="21"/>
              </w:rPr>
            </w:pPr>
            <w:r>
              <w:rPr>
                <w:rFonts w:hint="eastAsia"/>
                <w:sz w:val="21"/>
                <w:szCs w:val="21"/>
                <w:lang w:bidi="ar"/>
              </w:rPr>
              <w:t>响应文件实质性响应竞争性磋商文件要求，且无经评委认定为无效响应的</w:t>
            </w:r>
          </w:p>
        </w:tc>
        <w:tc>
          <w:tcPr>
            <w:tcW w:w="1164" w:type="dxa"/>
            <w:tcBorders>
              <w:left w:val="single" w:color="auto" w:sz="4" w:space="0"/>
            </w:tcBorders>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120" w:type="dxa"/>
            <w:vMerge w:val="continue"/>
            <w:tcBorders>
              <w:left w:val="single" w:color="auto" w:sz="4" w:space="0"/>
            </w:tcBorders>
            <w:vAlign w:val="center"/>
          </w:tcPr>
          <w:p>
            <w:pPr>
              <w:spacing w:before="60" w:beforeLines="25" w:line="360" w:lineRule="auto"/>
              <w:rPr>
                <w:kern w:val="2"/>
                <w:sz w:val="21"/>
                <w:szCs w:val="21"/>
              </w:rPr>
            </w:pPr>
          </w:p>
        </w:tc>
        <w:tc>
          <w:tcPr>
            <w:tcW w:w="6853" w:type="dxa"/>
            <w:tcBorders>
              <w:right w:val="single" w:color="auto" w:sz="4" w:space="0"/>
            </w:tcBorders>
            <w:vAlign w:val="center"/>
          </w:tcPr>
          <w:p>
            <w:pPr>
              <w:widowControl/>
              <w:spacing w:before="60" w:beforeLines="25" w:line="360" w:lineRule="auto"/>
              <w:textAlignment w:val="center"/>
              <w:rPr>
                <w:kern w:val="2"/>
                <w:sz w:val="21"/>
                <w:szCs w:val="21"/>
              </w:rPr>
            </w:pPr>
            <w:r>
              <w:rPr>
                <w:rFonts w:hint="eastAsia"/>
                <w:sz w:val="21"/>
                <w:szCs w:val="21"/>
                <w:lang w:bidi="ar"/>
              </w:rPr>
              <w:t>没有符合竞争性磋商文件中规定的被视为无效</w:t>
            </w:r>
            <w:r>
              <w:rPr>
                <w:rFonts w:hint="eastAsia"/>
                <w:sz w:val="21"/>
                <w:szCs w:val="21"/>
                <w:lang w:val="en-US" w:bidi="ar"/>
              </w:rPr>
              <w:t>响应</w:t>
            </w:r>
            <w:r>
              <w:rPr>
                <w:rFonts w:hint="eastAsia"/>
                <w:sz w:val="21"/>
                <w:szCs w:val="21"/>
                <w:lang w:bidi="ar"/>
              </w:rPr>
              <w:t>的其它条款的</w:t>
            </w:r>
          </w:p>
        </w:tc>
        <w:tc>
          <w:tcPr>
            <w:tcW w:w="1164" w:type="dxa"/>
            <w:tcBorders>
              <w:left w:val="single" w:color="auto" w:sz="4" w:space="0"/>
            </w:tcBorders>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120" w:type="dxa"/>
            <w:vMerge w:val="continue"/>
            <w:tcBorders>
              <w:left w:val="single" w:color="auto" w:sz="4" w:space="0"/>
              <w:bottom w:val="single" w:color="auto" w:sz="4" w:space="0"/>
            </w:tcBorders>
            <w:vAlign w:val="center"/>
          </w:tcPr>
          <w:p>
            <w:pPr>
              <w:spacing w:before="60" w:beforeLines="25" w:line="360" w:lineRule="auto"/>
              <w:rPr>
                <w:kern w:val="2"/>
                <w:sz w:val="21"/>
                <w:szCs w:val="21"/>
              </w:rPr>
            </w:pPr>
          </w:p>
        </w:tc>
        <w:tc>
          <w:tcPr>
            <w:tcW w:w="6853" w:type="dxa"/>
            <w:tcBorders>
              <w:bottom w:val="single" w:color="auto" w:sz="4" w:space="0"/>
              <w:right w:val="single" w:color="auto" w:sz="4" w:space="0"/>
            </w:tcBorders>
            <w:vAlign w:val="center"/>
          </w:tcPr>
          <w:p>
            <w:pPr>
              <w:widowControl/>
              <w:spacing w:before="60" w:beforeLines="25" w:line="360" w:lineRule="auto"/>
              <w:textAlignment w:val="center"/>
              <w:rPr>
                <w:kern w:val="2"/>
                <w:sz w:val="21"/>
                <w:szCs w:val="21"/>
              </w:rPr>
            </w:pPr>
            <w:r>
              <w:rPr>
                <w:rFonts w:hint="eastAsia"/>
                <w:sz w:val="21"/>
                <w:szCs w:val="21"/>
                <w:lang w:bidi="ar"/>
              </w:rPr>
              <w:t>符合法律、法规规定的其他实质性要求的</w:t>
            </w:r>
          </w:p>
        </w:tc>
        <w:tc>
          <w:tcPr>
            <w:tcW w:w="1164" w:type="dxa"/>
            <w:tcBorders>
              <w:left w:val="single" w:color="auto" w:sz="4" w:space="0"/>
            </w:tcBorders>
            <w:vAlign w:val="center"/>
          </w:tcPr>
          <w:p>
            <w:pPr>
              <w:spacing w:before="60" w:beforeLines="25" w:line="360" w:lineRule="auto"/>
              <w:rPr>
                <w:kern w:val="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1120" w:type="dxa"/>
            <w:tcBorders>
              <w:top w:val="single" w:color="auto" w:sz="4" w:space="0"/>
            </w:tcBorders>
            <w:vAlign w:val="center"/>
          </w:tcPr>
          <w:p>
            <w:pPr>
              <w:spacing w:before="60" w:beforeLines="25" w:line="360" w:lineRule="auto"/>
              <w:jc w:val="center"/>
              <w:rPr>
                <w:kern w:val="2"/>
                <w:sz w:val="21"/>
                <w:szCs w:val="21"/>
              </w:rPr>
            </w:pPr>
          </w:p>
        </w:tc>
        <w:tc>
          <w:tcPr>
            <w:tcW w:w="6853" w:type="dxa"/>
            <w:tcBorders>
              <w:top w:val="single" w:color="auto" w:sz="4" w:space="0"/>
            </w:tcBorders>
            <w:vAlign w:val="center"/>
          </w:tcPr>
          <w:p>
            <w:pPr>
              <w:widowControl/>
              <w:spacing w:before="60" w:beforeLines="25" w:line="360" w:lineRule="auto"/>
              <w:jc w:val="center"/>
              <w:textAlignment w:val="center"/>
              <w:rPr>
                <w:sz w:val="21"/>
                <w:szCs w:val="21"/>
                <w:lang w:val="en-US" w:bidi="ar"/>
              </w:rPr>
            </w:pPr>
            <w:r>
              <w:rPr>
                <w:rFonts w:hint="eastAsia"/>
                <w:sz w:val="21"/>
                <w:szCs w:val="21"/>
                <w:lang w:val="en-US" w:bidi="ar"/>
              </w:rPr>
              <w:t>结论</w:t>
            </w:r>
          </w:p>
        </w:tc>
        <w:tc>
          <w:tcPr>
            <w:tcW w:w="1164" w:type="dxa"/>
            <w:vAlign w:val="center"/>
          </w:tcPr>
          <w:p>
            <w:pPr>
              <w:spacing w:before="60" w:beforeLines="25" w:line="360" w:lineRule="auto"/>
              <w:rPr>
                <w:kern w:val="2"/>
                <w:sz w:val="21"/>
                <w:szCs w:val="21"/>
              </w:rPr>
            </w:pPr>
          </w:p>
        </w:tc>
      </w:tr>
    </w:tbl>
    <w:p>
      <w:pPr>
        <w:pStyle w:val="12"/>
        <w:rPr>
          <w:sz w:val="21"/>
          <w:szCs w:val="21"/>
        </w:rPr>
      </w:pPr>
    </w:p>
    <w:p>
      <w:pPr>
        <w:spacing w:after="60" w:afterLines="25" w:line="360" w:lineRule="auto"/>
        <w:ind w:firstLine="420" w:firstLineChars="200"/>
        <w:rPr>
          <w:sz w:val="21"/>
          <w:szCs w:val="21"/>
          <w:lang w:val="en-US"/>
        </w:rPr>
      </w:pPr>
      <w:r>
        <w:rPr>
          <w:rFonts w:hint="eastAsia"/>
          <w:sz w:val="21"/>
          <w:szCs w:val="21"/>
          <w:lang w:val="en-US"/>
        </w:rPr>
        <w:t>注：</w:t>
      </w:r>
      <w:r>
        <w:rPr>
          <w:sz w:val="21"/>
          <w:szCs w:val="21"/>
          <w:lang w:val="en-US"/>
        </w:rPr>
        <w:t>1、响应供应商分栏中填写“√”表示该项符合竞争性磋商文件要求，“×”表示该项不符合竞争性磋商文件要求；</w:t>
      </w:r>
    </w:p>
    <w:p>
      <w:pPr>
        <w:spacing w:after="60" w:line="360" w:lineRule="auto"/>
        <w:ind w:firstLine="420" w:firstLineChars="200"/>
        <w:rPr>
          <w:sz w:val="21"/>
          <w:szCs w:val="21"/>
        </w:rPr>
      </w:pPr>
      <w:r>
        <w:rPr>
          <w:sz w:val="21"/>
          <w:szCs w:val="21"/>
          <w:lang w:val="en-US"/>
        </w:rPr>
        <w:t>2</w:t>
      </w:r>
      <w:r>
        <w:rPr>
          <w:rFonts w:hint="eastAsia"/>
          <w:sz w:val="21"/>
          <w:szCs w:val="21"/>
        </w:rPr>
        <w:t>、磋商小组在结论栏中填写“通过”表示该响应文件符合竞争性磋商文件要求、“不通过”</w:t>
      </w:r>
      <w:r>
        <w:rPr>
          <w:sz w:val="21"/>
          <w:szCs w:val="21"/>
        </w:rPr>
        <w:t xml:space="preserve"> </w:t>
      </w:r>
      <w:r>
        <w:rPr>
          <w:rFonts w:hint="eastAsia"/>
          <w:sz w:val="21"/>
          <w:szCs w:val="21"/>
        </w:rPr>
        <w:t>表示该响应文件不符合竞争性磋商文件要求；</w:t>
      </w:r>
    </w:p>
    <w:p>
      <w:pPr>
        <w:spacing w:after="60" w:line="360" w:lineRule="auto"/>
        <w:ind w:firstLine="420" w:firstLineChars="200"/>
        <w:rPr>
          <w:sz w:val="21"/>
          <w:szCs w:val="21"/>
        </w:rPr>
      </w:pPr>
      <w:r>
        <w:rPr>
          <w:sz w:val="21"/>
          <w:szCs w:val="21"/>
          <w:lang w:val="en-US"/>
        </w:rPr>
        <w:t>3、</w:t>
      </w:r>
      <w:r>
        <w:rPr>
          <w:rFonts w:hint="eastAsia"/>
          <w:sz w:val="21"/>
          <w:szCs w:val="21"/>
        </w:rPr>
        <w:t>有半数以上的评委对供应商的结论为“不通过”则该供应商为不合格供应商，不得进入下一步详细评审。</w:t>
      </w:r>
    </w:p>
    <w:p>
      <w:pPr>
        <w:tabs>
          <w:tab w:val="left" w:pos="720"/>
        </w:tabs>
        <w:spacing w:before="60" w:beforeLines="25" w:after="60" w:line="360" w:lineRule="auto"/>
        <w:rPr>
          <w:b/>
          <w:sz w:val="21"/>
          <w:szCs w:val="21"/>
        </w:rPr>
      </w:pPr>
      <w:r>
        <w:rPr>
          <w:rFonts w:hint="eastAsia"/>
          <w:b/>
          <w:sz w:val="21"/>
          <w:szCs w:val="21"/>
        </w:rPr>
        <w:t>表</w:t>
      </w:r>
      <w:r>
        <w:rPr>
          <w:rFonts w:hint="eastAsia"/>
          <w:b/>
          <w:sz w:val="21"/>
          <w:szCs w:val="21"/>
          <w:lang w:val="en-US"/>
        </w:rPr>
        <w:t>二</w:t>
      </w:r>
      <w:r>
        <w:rPr>
          <w:rFonts w:hint="eastAsia"/>
          <w:b/>
          <w:sz w:val="21"/>
          <w:szCs w:val="21"/>
        </w:rPr>
        <w:t>：商务</w:t>
      </w:r>
      <w:r>
        <w:rPr>
          <w:rFonts w:hint="eastAsia"/>
          <w:b/>
          <w:sz w:val="21"/>
          <w:szCs w:val="21"/>
          <w:lang w:val="en-US"/>
        </w:rPr>
        <w:t>评审</w:t>
      </w:r>
      <w:r>
        <w:rPr>
          <w:rFonts w:hint="eastAsia"/>
          <w:b/>
          <w:sz w:val="21"/>
          <w:szCs w:val="21"/>
        </w:rPr>
        <w:t>表（</w:t>
      </w:r>
      <w:r>
        <w:rPr>
          <w:b/>
          <w:sz w:val="21"/>
          <w:szCs w:val="21"/>
          <w:u w:val="thick" w:color="0000FF"/>
          <w:lang w:val="en-US"/>
        </w:rPr>
        <w:t>30</w:t>
      </w:r>
      <w:r>
        <w:rPr>
          <w:rFonts w:hint="eastAsia"/>
          <w:b/>
          <w:sz w:val="21"/>
          <w:szCs w:val="21"/>
        </w:rPr>
        <w:t>分）</w:t>
      </w:r>
    </w:p>
    <w:tbl>
      <w:tblPr>
        <w:tblStyle w:val="18"/>
        <w:tblW w:w="922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69"/>
        <w:gridCol w:w="6105"/>
        <w:gridCol w:w="7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spacing w:before="60" w:beforeLines="25" w:after="60" w:afterLines="25" w:line="300" w:lineRule="auto"/>
              <w:jc w:val="center"/>
              <w:rPr>
                <w:b/>
                <w:kern w:val="2"/>
                <w:sz w:val="21"/>
                <w:szCs w:val="21"/>
              </w:rPr>
            </w:pPr>
            <w:r>
              <w:rPr>
                <w:rFonts w:hint="eastAsia"/>
                <w:b/>
                <w:kern w:val="2"/>
                <w:sz w:val="21"/>
                <w:szCs w:val="21"/>
              </w:rPr>
              <w:t>序号</w:t>
            </w:r>
          </w:p>
        </w:tc>
        <w:tc>
          <w:tcPr>
            <w:tcW w:w="1669" w:type="dxa"/>
            <w:vAlign w:val="center"/>
          </w:tcPr>
          <w:p>
            <w:pPr>
              <w:autoSpaceDE/>
              <w:autoSpaceDN/>
              <w:adjustRightInd w:val="0"/>
              <w:snapToGrid w:val="0"/>
              <w:spacing w:before="60" w:beforeLines="25" w:after="60" w:afterLines="25" w:line="300" w:lineRule="auto"/>
              <w:jc w:val="center"/>
              <w:rPr>
                <w:kern w:val="2"/>
                <w:sz w:val="21"/>
                <w:szCs w:val="21"/>
              </w:rPr>
            </w:pPr>
            <w:r>
              <w:rPr>
                <w:rFonts w:hint="eastAsia"/>
                <w:b/>
                <w:kern w:val="2"/>
                <w:sz w:val="21"/>
                <w:szCs w:val="21"/>
              </w:rPr>
              <w:t>评审内容</w:t>
            </w:r>
          </w:p>
        </w:tc>
        <w:tc>
          <w:tcPr>
            <w:tcW w:w="6105" w:type="dxa"/>
            <w:vAlign w:val="center"/>
          </w:tcPr>
          <w:p>
            <w:pPr>
              <w:autoSpaceDE/>
              <w:autoSpaceDN/>
              <w:adjustRightInd w:val="0"/>
              <w:snapToGrid w:val="0"/>
              <w:spacing w:before="60" w:beforeLines="25" w:after="60" w:afterLines="25" w:line="300" w:lineRule="auto"/>
              <w:jc w:val="center"/>
              <w:rPr>
                <w:b/>
                <w:kern w:val="2"/>
                <w:sz w:val="21"/>
                <w:szCs w:val="21"/>
              </w:rPr>
            </w:pPr>
            <w:r>
              <w:rPr>
                <w:rFonts w:hint="eastAsia"/>
                <w:b/>
                <w:kern w:val="2"/>
                <w:sz w:val="21"/>
                <w:szCs w:val="21"/>
              </w:rPr>
              <w:t>评审细则</w:t>
            </w:r>
          </w:p>
        </w:tc>
        <w:tc>
          <w:tcPr>
            <w:tcW w:w="744" w:type="dxa"/>
            <w:vAlign w:val="center"/>
          </w:tcPr>
          <w:p>
            <w:pPr>
              <w:spacing w:before="60" w:beforeLines="25" w:after="60" w:afterLines="25" w:line="300" w:lineRule="auto"/>
              <w:jc w:val="center"/>
              <w:rPr>
                <w:b/>
                <w:bCs/>
                <w:sz w:val="21"/>
                <w:szCs w:val="21"/>
              </w:rPr>
            </w:pPr>
            <w:r>
              <w:rPr>
                <w:rFonts w:hint="eastAsia"/>
                <w:b/>
                <w:bCs/>
                <w:sz w:val="21"/>
                <w:szCs w:val="21"/>
              </w:rPr>
              <w:t>分值</w:t>
            </w:r>
          </w:p>
          <w:p>
            <w:pPr>
              <w:spacing w:before="60" w:beforeLines="25" w:after="60" w:afterLines="25" w:line="300" w:lineRule="auto"/>
              <w:jc w:val="center"/>
              <w:rPr>
                <w:b/>
                <w:kern w:val="2"/>
                <w:sz w:val="21"/>
                <w:szCs w:val="21"/>
              </w:rPr>
            </w:pPr>
            <w:r>
              <w:rPr>
                <w:rFonts w:hint="eastAsia"/>
                <w:b/>
                <w:bCs/>
                <w:kern w:val="2"/>
                <w:sz w:val="21"/>
                <w:szCs w:val="21"/>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09" w:type="dxa"/>
            <w:vAlign w:val="center"/>
          </w:tcPr>
          <w:p>
            <w:pPr>
              <w:spacing w:before="60" w:beforeLines="25" w:after="60" w:afterLines="25" w:line="300" w:lineRule="auto"/>
              <w:jc w:val="center"/>
              <w:rPr>
                <w:kern w:val="2"/>
                <w:sz w:val="21"/>
                <w:szCs w:val="21"/>
                <w:lang w:val="en-US"/>
              </w:rPr>
            </w:pPr>
            <w:r>
              <w:rPr>
                <w:kern w:val="2"/>
                <w:sz w:val="21"/>
                <w:szCs w:val="21"/>
                <w:lang w:val="en-US"/>
              </w:rPr>
              <w:t>1</w:t>
            </w:r>
          </w:p>
        </w:tc>
        <w:tc>
          <w:tcPr>
            <w:tcW w:w="1669" w:type="dxa"/>
            <w:vAlign w:val="center"/>
          </w:tcPr>
          <w:p>
            <w:pPr>
              <w:widowControl/>
              <w:spacing w:before="60" w:beforeLines="25" w:after="60" w:afterLines="25" w:line="300" w:lineRule="auto"/>
              <w:jc w:val="center"/>
              <w:rPr>
                <w:sz w:val="21"/>
                <w:szCs w:val="21"/>
              </w:rPr>
            </w:pPr>
            <w:r>
              <w:rPr>
                <w:rFonts w:hint="eastAsia"/>
                <w:sz w:val="21"/>
                <w:szCs w:val="21"/>
              </w:rPr>
              <w:t>企业管理体系认证</w:t>
            </w:r>
          </w:p>
        </w:tc>
        <w:tc>
          <w:tcPr>
            <w:tcW w:w="6105" w:type="dxa"/>
            <w:vAlign w:val="center"/>
          </w:tcPr>
          <w:p>
            <w:pPr>
              <w:spacing w:before="60" w:beforeLines="25" w:after="60" w:afterLines="25" w:line="300" w:lineRule="auto"/>
              <w:rPr>
                <w:sz w:val="21"/>
                <w:szCs w:val="21"/>
              </w:rPr>
            </w:pPr>
            <w:r>
              <w:rPr>
                <w:rFonts w:hint="eastAsia"/>
                <w:sz w:val="21"/>
                <w:szCs w:val="21"/>
              </w:rPr>
              <w:t>响应供应商获得以下有效的认证证书的：</w:t>
            </w:r>
          </w:p>
          <w:p>
            <w:pPr>
              <w:spacing w:before="60" w:beforeLines="25" w:after="60" w:afterLines="25" w:line="300" w:lineRule="auto"/>
              <w:rPr>
                <w:sz w:val="21"/>
                <w:szCs w:val="21"/>
              </w:rPr>
            </w:pPr>
            <w:r>
              <w:rPr>
                <w:rFonts w:hint="eastAsia"/>
                <w:sz w:val="21"/>
                <w:szCs w:val="21"/>
              </w:rPr>
              <w:t>质量管理体系认证证书、环境管理体系认证证书、职业健康安全管理体系认证证书。</w:t>
            </w:r>
          </w:p>
          <w:p>
            <w:pPr>
              <w:spacing w:before="60" w:beforeLines="25" w:after="60" w:afterLines="25" w:line="300" w:lineRule="auto"/>
              <w:rPr>
                <w:sz w:val="21"/>
                <w:szCs w:val="21"/>
              </w:rPr>
            </w:pPr>
            <w:r>
              <w:rPr>
                <w:rFonts w:hint="eastAsia"/>
                <w:sz w:val="21"/>
                <w:szCs w:val="21"/>
              </w:rPr>
              <w:t>每提供一项得</w:t>
            </w:r>
            <w:r>
              <w:rPr>
                <w:sz w:val="21"/>
                <w:szCs w:val="21"/>
              </w:rPr>
              <w:t>3分，最高得9分。</w:t>
            </w:r>
          </w:p>
          <w:p>
            <w:pPr>
              <w:pStyle w:val="2"/>
              <w:spacing w:before="60" w:beforeLines="25" w:after="60" w:afterLines="25" w:line="300" w:lineRule="auto"/>
              <w:ind w:firstLine="0" w:firstLineChars="0"/>
              <w:rPr>
                <w:sz w:val="21"/>
                <w:szCs w:val="21"/>
              </w:rPr>
            </w:pPr>
            <w:r>
              <w:rPr>
                <w:rFonts w:hint="eastAsia"/>
                <w:sz w:val="21"/>
                <w:szCs w:val="21"/>
              </w:rPr>
              <w:t>（须同时提供认证证书复印件及在全国认监委网站对体系证书的信息查询“有效”截图作为证明材料，已失效、撤销的或没有提供不得分。</w:t>
            </w:r>
            <w:r>
              <w:rPr>
                <w:rFonts w:hint="eastAsia"/>
                <w:sz w:val="21"/>
                <w:szCs w:val="21"/>
                <w:lang w:val="en-US"/>
              </w:rPr>
              <w:t>上述证明材料加盖供应商公章</w:t>
            </w:r>
            <w:r>
              <w:rPr>
                <w:rFonts w:hint="eastAsia"/>
                <w:sz w:val="21"/>
                <w:szCs w:val="21"/>
              </w:rPr>
              <w:t>）</w:t>
            </w:r>
          </w:p>
        </w:tc>
        <w:tc>
          <w:tcPr>
            <w:tcW w:w="744" w:type="dxa"/>
            <w:vAlign w:val="center"/>
          </w:tcPr>
          <w:p>
            <w:pPr>
              <w:spacing w:before="60" w:beforeLines="25" w:after="60" w:afterLines="25" w:line="300" w:lineRule="auto"/>
              <w:jc w:val="center"/>
              <w:rPr>
                <w:szCs w:val="21"/>
                <w:lang w:val="en-US"/>
              </w:rPr>
            </w:pPr>
            <w:r>
              <w:rPr>
                <w:szCs w:val="21"/>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09" w:type="dxa"/>
            <w:vAlign w:val="center"/>
          </w:tcPr>
          <w:p>
            <w:pPr>
              <w:spacing w:before="60" w:beforeLines="25" w:after="60" w:afterLines="25" w:line="300" w:lineRule="auto"/>
              <w:jc w:val="center"/>
              <w:rPr>
                <w:kern w:val="2"/>
                <w:sz w:val="21"/>
                <w:szCs w:val="21"/>
                <w:lang w:val="en-US"/>
              </w:rPr>
            </w:pPr>
            <w:r>
              <w:rPr>
                <w:kern w:val="2"/>
                <w:sz w:val="21"/>
                <w:szCs w:val="21"/>
                <w:lang w:val="en-US"/>
              </w:rPr>
              <w:t>2</w:t>
            </w:r>
          </w:p>
        </w:tc>
        <w:tc>
          <w:tcPr>
            <w:tcW w:w="1669" w:type="dxa"/>
            <w:vAlign w:val="center"/>
          </w:tcPr>
          <w:p>
            <w:pPr>
              <w:widowControl/>
              <w:spacing w:before="60" w:beforeLines="25" w:after="60" w:afterLines="25" w:line="300" w:lineRule="auto"/>
              <w:jc w:val="center"/>
              <w:rPr>
                <w:sz w:val="21"/>
                <w:szCs w:val="21"/>
              </w:rPr>
            </w:pPr>
            <w:r>
              <w:rPr>
                <w:rFonts w:hint="eastAsia"/>
                <w:sz w:val="21"/>
                <w:szCs w:val="21"/>
              </w:rPr>
              <w:t>同类项目业绩</w:t>
            </w:r>
          </w:p>
        </w:tc>
        <w:tc>
          <w:tcPr>
            <w:tcW w:w="6105" w:type="dxa"/>
            <w:vAlign w:val="center"/>
          </w:tcPr>
          <w:p>
            <w:pPr>
              <w:spacing w:before="60" w:beforeLines="25" w:after="60" w:afterLines="25" w:line="300" w:lineRule="auto"/>
              <w:rPr>
                <w:sz w:val="21"/>
                <w:szCs w:val="21"/>
              </w:rPr>
            </w:pPr>
            <w:r>
              <w:rPr>
                <w:rFonts w:hint="eastAsia"/>
                <w:sz w:val="21"/>
                <w:szCs w:val="21"/>
              </w:rPr>
              <w:t>响应供应商近</w:t>
            </w:r>
            <w:r>
              <w:rPr>
                <w:sz w:val="21"/>
                <w:szCs w:val="21"/>
              </w:rPr>
              <w:t xml:space="preserve">3年（自磋商公告发布之日起往前顺推，以合同签订时间为准）完成的同类项目业绩，每提供一个得2分，最高得10分。 </w:t>
            </w:r>
          </w:p>
          <w:p>
            <w:pPr>
              <w:spacing w:before="60" w:beforeLines="25" w:after="60" w:afterLines="25" w:line="300" w:lineRule="auto"/>
              <w:rPr>
                <w:sz w:val="21"/>
                <w:szCs w:val="21"/>
              </w:rPr>
            </w:pPr>
            <w:r>
              <w:rPr>
                <w:rFonts w:hint="eastAsia"/>
                <w:sz w:val="21"/>
                <w:szCs w:val="21"/>
              </w:rPr>
              <w:t>（须同时提供中标</w:t>
            </w:r>
            <w:r>
              <w:rPr>
                <w:sz w:val="21"/>
                <w:szCs w:val="21"/>
              </w:rPr>
              <w:t>/成交通知书、合同及竣工验收报告的复印件作为证明材料</w:t>
            </w:r>
            <w:r>
              <w:rPr>
                <w:rFonts w:hint="eastAsia"/>
                <w:sz w:val="21"/>
                <w:szCs w:val="21"/>
                <w:lang w:val="en-US"/>
              </w:rPr>
              <w:t>并加盖供应商公章</w:t>
            </w:r>
            <w:r>
              <w:rPr>
                <w:rFonts w:hint="eastAsia"/>
                <w:sz w:val="21"/>
                <w:szCs w:val="21"/>
              </w:rPr>
              <w:t>，否则不得分。）</w:t>
            </w:r>
          </w:p>
        </w:tc>
        <w:tc>
          <w:tcPr>
            <w:tcW w:w="744" w:type="dxa"/>
            <w:vAlign w:val="center"/>
          </w:tcPr>
          <w:p>
            <w:pPr>
              <w:spacing w:before="60" w:beforeLines="25" w:after="60" w:afterLines="25" w:line="300" w:lineRule="auto"/>
              <w:jc w:val="center"/>
              <w:rPr>
                <w:szCs w:val="21"/>
                <w:lang w:val="en-US"/>
              </w:rPr>
            </w:pPr>
            <w:r>
              <w:rPr>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09" w:type="dxa"/>
            <w:vAlign w:val="center"/>
          </w:tcPr>
          <w:p>
            <w:pPr>
              <w:spacing w:before="60" w:beforeLines="25" w:after="60" w:afterLines="25" w:line="300" w:lineRule="auto"/>
              <w:jc w:val="center"/>
              <w:rPr>
                <w:kern w:val="2"/>
                <w:sz w:val="21"/>
                <w:szCs w:val="21"/>
                <w:lang w:val="en-US"/>
              </w:rPr>
            </w:pPr>
            <w:r>
              <w:rPr>
                <w:kern w:val="2"/>
                <w:sz w:val="21"/>
                <w:szCs w:val="21"/>
                <w:lang w:val="en-US"/>
              </w:rPr>
              <w:t>3</w:t>
            </w:r>
          </w:p>
        </w:tc>
        <w:tc>
          <w:tcPr>
            <w:tcW w:w="1669" w:type="dxa"/>
            <w:vAlign w:val="center"/>
          </w:tcPr>
          <w:p>
            <w:pPr>
              <w:widowControl/>
              <w:spacing w:before="60" w:beforeLines="25" w:after="60" w:afterLines="25" w:line="300" w:lineRule="auto"/>
              <w:jc w:val="center"/>
              <w:rPr>
                <w:sz w:val="21"/>
                <w:szCs w:val="21"/>
              </w:rPr>
            </w:pPr>
            <w:r>
              <w:rPr>
                <w:rFonts w:hint="eastAsia"/>
                <w:sz w:val="21"/>
                <w:szCs w:val="21"/>
              </w:rPr>
              <w:t>拟投入技术人员情况</w:t>
            </w:r>
          </w:p>
        </w:tc>
        <w:tc>
          <w:tcPr>
            <w:tcW w:w="6105" w:type="dxa"/>
            <w:vAlign w:val="center"/>
          </w:tcPr>
          <w:p>
            <w:pPr>
              <w:tabs>
                <w:tab w:val="left" w:pos="1165"/>
              </w:tabs>
              <w:spacing w:before="60" w:beforeLines="25" w:after="60" w:afterLines="25" w:line="360" w:lineRule="auto"/>
              <w:rPr>
                <w:sz w:val="21"/>
                <w:szCs w:val="21"/>
              </w:rPr>
            </w:pPr>
            <w:r>
              <w:rPr>
                <w:rFonts w:hint="eastAsia"/>
                <w:sz w:val="21"/>
                <w:szCs w:val="21"/>
              </w:rPr>
              <w:t>根据响应供应商拟投入技术人员</w:t>
            </w:r>
            <w:r>
              <w:rPr>
                <w:sz w:val="21"/>
                <w:szCs w:val="21"/>
              </w:rPr>
              <w:t xml:space="preserve">情况： </w:t>
            </w:r>
          </w:p>
          <w:p>
            <w:pPr>
              <w:widowControl/>
              <w:numPr>
                <w:ilvl w:val="255"/>
                <w:numId w:val="0"/>
              </w:numPr>
              <w:tabs>
                <w:tab w:val="left" w:pos="1165"/>
              </w:tabs>
              <w:spacing w:before="60" w:beforeLines="25" w:after="60" w:afterLines="25" w:line="360" w:lineRule="auto"/>
              <w:rPr>
                <w:sz w:val="21"/>
                <w:szCs w:val="21"/>
              </w:rPr>
            </w:pPr>
            <w:r>
              <w:rPr>
                <w:sz w:val="21"/>
                <w:szCs w:val="21"/>
                <w:lang w:val="en-US"/>
              </w:rPr>
              <w:t>1、</w:t>
            </w:r>
            <w:r>
              <w:rPr>
                <w:rFonts w:hint="eastAsia"/>
                <w:sz w:val="21"/>
                <w:szCs w:val="21"/>
              </w:rPr>
              <w:t>拟派项目负责人具有</w:t>
            </w:r>
            <w:r>
              <w:rPr>
                <w:rFonts w:hint="eastAsia"/>
                <w:sz w:val="21"/>
                <w:szCs w:val="21"/>
                <w:lang w:val="en-US"/>
              </w:rPr>
              <w:t>市政</w:t>
            </w:r>
            <w:r>
              <w:rPr>
                <w:rFonts w:hint="eastAsia"/>
                <w:sz w:val="21"/>
                <w:szCs w:val="21"/>
              </w:rPr>
              <w:t>工程相关专业中级职称的得</w:t>
            </w:r>
            <w:r>
              <w:rPr>
                <w:sz w:val="21"/>
                <w:szCs w:val="21"/>
              </w:rPr>
              <w:t>2分；具有</w:t>
            </w:r>
            <w:r>
              <w:rPr>
                <w:rFonts w:hint="eastAsia"/>
                <w:sz w:val="21"/>
                <w:szCs w:val="21"/>
                <w:lang w:val="en-US"/>
              </w:rPr>
              <w:t>市政</w:t>
            </w:r>
            <w:r>
              <w:rPr>
                <w:rFonts w:hint="eastAsia"/>
                <w:sz w:val="21"/>
                <w:szCs w:val="21"/>
              </w:rPr>
              <w:t>工程相关专业高级或以上职称的得</w:t>
            </w:r>
            <w:r>
              <w:rPr>
                <w:sz w:val="21"/>
                <w:szCs w:val="21"/>
              </w:rPr>
              <w:t>4分；本小项最高得4分。</w:t>
            </w:r>
          </w:p>
          <w:p>
            <w:pPr>
              <w:widowControl/>
              <w:numPr>
                <w:ilvl w:val="255"/>
                <w:numId w:val="0"/>
              </w:numPr>
              <w:tabs>
                <w:tab w:val="left" w:pos="1165"/>
              </w:tabs>
              <w:spacing w:before="60" w:beforeLines="25" w:after="60" w:afterLines="25" w:line="360" w:lineRule="auto"/>
              <w:rPr>
                <w:sz w:val="21"/>
                <w:szCs w:val="21"/>
              </w:rPr>
            </w:pPr>
            <w:r>
              <w:rPr>
                <w:sz w:val="21"/>
                <w:szCs w:val="21"/>
                <w:lang w:val="en-US"/>
              </w:rPr>
              <w:t>2、</w:t>
            </w:r>
            <w:r>
              <w:rPr>
                <w:rFonts w:hint="eastAsia"/>
                <w:sz w:val="21"/>
                <w:szCs w:val="21"/>
              </w:rPr>
              <w:t>拟派项目技术负责人具有</w:t>
            </w:r>
            <w:r>
              <w:rPr>
                <w:rFonts w:hint="eastAsia"/>
                <w:sz w:val="21"/>
                <w:szCs w:val="21"/>
                <w:lang w:val="en-US"/>
              </w:rPr>
              <w:t>市政</w:t>
            </w:r>
            <w:r>
              <w:rPr>
                <w:rFonts w:hint="eastAsia"/>
                <w:sz w:val="21"/>
                <w:szCs w:val="21"/>
              </w:rPr>
              <w:t>工程相关专业中级职称的得</w:t>
            </w:r>
            <w:r>
              <w:rPr>
                <w:sz w:val="21"/>
                <w:szCs w:val="21"/>
              </w:rPr>
              <w:t>2分；具有</w:t>
            </w:r>
            <w:r>
              <w:rPr>
                <w:rFonts w:hint="eastAsia"/>
                <w:sz w:val="21"/>
                <w:szCs w:val="21"/>
                <w:lang w:val="en-US"/>
              </w:rPr>
              <w:t>市政</w:t>
            </w:r>
            <w:r>
              <w:rPr>
                <w:rFonts w:hint="eastAsia"/>
                <w:sz w:val="21"/>
                <w:szCs w:val="21"/>
              </w:rPr>
              <w:t>工程相关专业高级或以上职称的得</w:t>
            </w:r>
            <w:r>
              <w:rPr>
                <w:sz w:val="21"/>
                <w:szCs w:val="21"/>
              </w:rPr>
              <w:t>4分；</w:t>
            </w:r>
            <w:r>
              <w:rPr>
                <w:rFonts w:hint="eastAsia"/>
                <w:sz w:val="21"/>
                <w:szCs w:val="21"/>
              </w:rPr>
              <w:t>本小项最高得</w:t>
            </w:r>
            <w:r>
              <w:rPr>
                <w:sz w:val="21"/>
                <w:szCs w:val="21"/>
              </w:rPr>
              <w:t>4</w:t>
            </w:r>
            <w:r>
              <w:rPr>
                <w:rFonts w:hint="eastAsia"/>
                <w:sz w:val="21"/>
                <w:szCs w:val="21"/>
              </w:rPr>
              <w:t>分。</w:t>
            </w:r>
            <w:r>
              <w:rPr>
                <w:sz w:val="21"/>
                <w:szCs w:val="21"/>
              </w:rPr>
              <w:t xml:space="preserve"> </w:t>
            </w:r>
          </w:p>
          <w:p>
            <w:pPr>
              <w:widowControl/>
              <w:numPr>
                <w:ilvl w:val="255"/>
                <w:numId w:val="0"/>
              </w:numPr>
              <w:tabs>
                <w:tab w:val="left" w:pos="1165"/>
              </w:tabs>
              <w:spacing w:before="60" w:beforeLines="25" w:after="60" w:afterLines="25" w:line="360" w:lineRule="auto"/>
              <w:rPr>
                <w:sz w:val="21"/>
                <w:szCs w:val="21"/>
              </w:rPr>
            </w:pPr>
            <w:r>
              <w:rPr>
                <w:sz w:val="21"/>
                <w:szCs w:val="21"/>
                <w:lang w:val="en-US"/>
              </w:rPr>
              <w:t>3、</w:t>
            </w:r>
            <w:r>
              <w:rPr>
                <w:rFonts w:hint="eastAsia"/>
                <w:sz w:val="21"/>
                <w:szCs w:val="21"/>
              </w:rPr>
              <w:t>造价负责人具有住建部颁发的注册造价工程师或一级造价工程师执业资格证书的得</w:t>
            </w:r>
            <w:r>
              <w:rPr>
                <w:sz w:val="21"/>
                <w:szCs w:val="21"/>
              </w:rPr>
              <w:t>3分</w:t>
            </w:r>
            <w:r>
              <w:rPr>
                <w:rFonts w:hint="eastAsia"/>
                <w:sz w:val="21"/>
                <w:szCs w:val="21"/>
              </w:rPr>
              <w:t>，本小项最高得</w:t>
            </w:r>
            <w:r>
              <w:rPr>
                <w:sz w:val="21"/>
                <w:szCs w:val="21"/>
              </w:rPr>
              <w:t xml:space="preserve">3分。 </w:t>
            </w:r>
          </w:p>
          <w:p>
            <w:pPr>
              <w:tabs>
                <w:tab w:val="left" w:pos="1165"/>
              </w:tabs>
              <w:spacing w:before="60" w:beforeLines="25" w:after="60" w:afterLines="25" w:line="360" w:lineRule="auto"/>
              <w:rPr>
                <w:sz w:val="21"/>
                <w:szCs w:val="21"/>
              </w:rPr>
            </w:pPr>
            <w:r>
              <w:rPr>
                <w:sz w:val="21"/>
                <w:szCs w:val="21"/>
              </w:rPr>
              <w:t>本项最高得11分</w:t>
            </w:r>
            <w:r>
              <w:rPr>
                <w:rFonts w:hint="eastAsia"/>
                <w:sz w:val="21"/>
                <w:szCs w:val="21"/>
              </w:rPr>
              <w:t>。</w:t>
            </w:r>
          </w:p>
          <w:p>
            <w:pPr>
              <w:tabs>
                <w:tab w:val="left" w:pos="1165"/>
              </w:tabs>
              <w:spacing w:before="60" w:beforeLines="25" w:after="60" w:afterLines="25" w:line="360" w:lineRule="auto"/>
              <w:rPr>
                <w:sz w:val="21"/>
                <w:szCs w:val="21"/>
                <w:lang w:val="en-US"/>
              </w:rPr>
            </w:pPr>
            <w:r>
              <w:rPr>
                <w:rFonts w:hint="eastAsia"/>
                <w:sz w:val="21"/>
                <w:szCs w:val="21"/>
              </w:rPr>
              <w:t>（</w:t>
            </w:r>
            <w:r>
              <w:rPr>
                <w:sz w:val="21"/>
                <w:szCs w:val="21"/>
                <w:lang w:val="en-US"/>
              </w:rPr>
              <w:t>1.</w:t>
            </w:r>
            <w:r>
              <w:rPr>
                <w:sz w:val="21"/>
                <w:szCs w:val="21"/>
              </w:rPr>
              <w:t>上述</w:t>
            </w:r>
            <w:r>
              <w:rPr>
                <w:rFonts w:hint="eastAsia"/>
                <w:sz w:val="21"/>
                <w:szCs w:val="21"/>
              </w:rPr>
              <w:t>各类别</w:t>
            </w:r>
            <w:r>
              <w:rPr>
                <w:sz w:val="21"/>
                <w:szCs w:val="21"/>
              </w:rPr>
              <w:t>人员不能互相兼任</w:t>
            </w:r>
            <w:r>
              <w:rPr>
                <w:rFonts w:hint="eastAsia"/>
                <w:sz w:val="21"/>
                <w:szCs w:val="21"/>
              </w:rPr>
              <w:t>；</w:t>
            </w:r>
            <w:r>
              <w:rPr>
                <w:sz w:val="21"/>
                <w:szCs w:val="21"/>
                <w:lang w:val="en-US"/>
              </w:rPr>
              <w:t>2.</w:t>
            </w:r>
            <w:r>
              <w:rPr>
                <w:sz w:val="21"/>
                <w:szCs w:val="21"/>
              </w:rPr>
              <w:t>须提供以上证书复印件</w:t>
            </w:r>
            <w:r>
              <w:rPr>
                <w:rFonts w:hint="eastAsia"/>
                <w:sz w:val="21"/>
                <w:szCs w:val="21"/>
              </w:rPr>
              <w:t>或网页打印件；</w:t>
            </w:r>
            <w:r>
              <w:rPr>
                <w:sz w:val="21"/>
                <w:szCs w:val="21"/>
                <w:lang w:val="en-US"/>
              </w:rPr>
              <w:t>3.</w:t>
            </w:r>
            <w:r>
              <w:rPr>
                <w:rFonts w:hint="eastAsia"/>
                <w:sz w:val="21"/>
                <w:szCs w:val="21"/>
              </w:rPr>
              <w:t>职业资格证书以最高级别为准，不重复计算得分；</w:t>
            </w:r>
            <w:r>
              <w:rPr>
                <w:sz w:val="21"/>
                <w:szCs w:val="21"/>
                <w:lang w:val="en-US"/>
              </w:rPr>
              <w:t>4.</w:t>
            </w:r>
            <w:r>
              <w:rPr>
                <w:sz w:val="21"/>
                <w:szCs w:val="21"/>
              </w:rPr>
              <w:t>以上人员</w:t>
            </w:r>
            <w:r>
              <w:rPr>
                <w:rFonts w:hint="eastAsia"/>
                <w:sz w:val="21"/>
                <w:szCs w:val="21"/>
              </w:rPr>
              <w:t>须</w:t>
            </w:r>
            <w:r>
              <w:rPr>
                <w:sz w:val="21"/>
                <w:szCs w:val="21"/>
              </w:rPr>
              <w:t>同时提供</w:t>
            </w:r>
            <w:r>
              <w:rPr>
                <w:rFonts w:hint="eastAsia"/>
                <w:sz w:val="21"/>
                <w:szCs w:val="21"/>
              </w:rPr>
              <w:t>扣除发布磋商公告当月往前顺推三个月内任意一个月</w:t>
            </w:r>
            <w:r>
              <w:rPr>
                <w:sz w:val="21"/>
                <w:szCs w:val="21"/>
              </w:rPr>
              <w:t>缴纳社保的有效证明材料</w:t>
            </w:r>
            <w:r>
              <w:rPr>
                <w:rFonts w:hint="eastAsia"/>
                <w:sz w:val="21"/>
                <w:szCs w:val="21"/>
              </w:rPr>
              <w:t>。</w:t>
            </w:r>
            <w:r>
              <w:rPr>
                <w:rFonts w:hint="eastAsia"/>
                <w:sz w:val="21"/>
                <w:szCs w:val="21"/>
                <w:lang w:val="en-US"/>
              </w:rPr>
              <w:t>上述证明材料加盖供应商公章</w:t>
            </w:r>
            <w:r>
              <w:rPr>
                <w:rFonts w:hint="eastAsia"/>
                <w:sz w:val="21"/>
                <w:szCs w:val="21"/>
              </w:rPr>
              <w:t>）</w:t>
            </w:r>
            <w:r>
              <w:rPr>
                <w:sz w:val="21"/>
                <w:szCs w:val="21"/>
                <w:lang w:val="en-US"/>
              </w:rPr>
              <w:t>5.</w:t>
            </w:r>
            <w:r>
              <w:rPr>
                <w:rFonts w:hint="eastAsia"/>
                <w:sz w:val="21"/>
                <w:szCs w:val="21"/>
                <w:lang w:val="en-US"/>
              </w:rPr>
              <w:t>市政工程相关专业职称包括道路与桥梁、给排</w:t>
            </w:r>
            <w:r>
              <w:rPr>
                <w:rFonts w:hint="eastAsia"/>
                <w:sz w:val="21"/>
                <w:szCs w:val="21"/>
              </w:rPr>
              <w:t>水、结构、机电、燃气等专业职称。）</w:t>
            </w:r>
          </w:p>
        </w:tc>
        <w:tc>
          <w:tcPr>
            <w:tcW w:w="744" w:type="dxa"/>
            <w:vAlign w:val="center"/>
          </w:tcPr>
          <w:p>
            <w:pPr>
              <w:widowControl/>
              <w:spacing w:before="60" w:beforeLines="25" w:after="60" w:afterLines="25" w:line="300" w:lineRule="auto"/>
              <w:jc w:val="center"/>
              <w:rPr>
                <w:szCs w:val="21"/>
                <w:lang w:val="en-US"/>
              </w:rPr>
            </w:pPr>
            <w:r>
              <w:rPr>
                <w:szCs w:val="21"/>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483" w:type="dxa"/>
            <w:gridSpan w:val="3"/>
            <w:vAlign w:val="center"/>
          </w:tcPr>
          <w:p>
            <w:pPr>
              <w:spacing w:before="60" w:beforeLines="25" w:after="60" w:afterLines="25" w:line="300" w:lineRule="auto"/>
              <w:jc w:val="center"/>
              <w:rPr>
                <w:bCs/>
                <w:kern w:val="2"/>
                <w:sz w:val="21"/>
                <w:szCs w:val="21"/>
                <w:lang w:val="en-US"/>
              </w:rPr>
            </w:pPr>
            <w:r>
              <w:rPr>
                <w:rFonts w:hint="eastAsia"/>
                <w:bCs/>
                <w:kern w:val="2"/>
                <w:sz w:val="21"/>
                <w:szCs w:val="21"/>
                <w:lang w:val="en-US"/>
              </w:rPr>
              <w:t>合计</w:t>
            </w:r>
          </w:p>
        </w:tc>
        <w:tc>
          <w:tcPr>
            <w:tcW w:w="744" w:type="dxa"/>
            <w:vAlign w:val="center"/>
          </w:tcPr>
          <w:p>
            <w:pPr>
              <w:spacing w:before="60" w:beforeLines="25" w:after="60" w:afterLines="25" w:line="300" w:lineRule="auto"/>
              <w:jc w:val="center"/>
              <w:rPr>
                <w:kern w:val="2"/>
                <w:sz w:val="21"/>
                <w:szCs w:val="21"/>
                <w:lang w:val="en-US"/>
              </w:rPr>
            </w:pPr>
            <w:r>
              <w:rPr>
                <w:kern w:val="2"/>
                <w:sz w:val="21"/>
                <w:szCs w:val="21"/>
                <w:lang w:val="en-US"/>
              </w:rPr>
              <w:t>30</w:t>
            </w:r>
          </w:p>
        </w:tc>
      </w:tr>
    </w:tbl>
    <w:p>
      <w:pPr>
        <w:tabs>
          <w:tab w:val="left" w:pos="720"/>
        </w:tabs>
        <w:spacing w:before="60" w:beforeLines="25" w:after="60" w:line="360" w:lineRule="auto"/>
        <w:rPr>
          <w:bCs/>
          <w:sz w:val="21"/>
          <w:szCs w:val="21"/>
        </w:rPr>
      </w:pPr>
      <w:r>
        <w:rPr>
          <w:rFonts w:hint="eastAsia"/>
          <w:bCs/>
          <w:sz w:val="21"/>
          <w:szCs w:val="21"/>
        </w:rPr>
        <w:t>注：各评委按规定的范围内进行量化打分，并统计总分。</w:t>
      </w:r>
    </w:p>
    <w:p>
      <w:pPr>
        <w:tabs>
          <w:tab w:val="left" w:pos="720"/>
        </w:tabs>
        <w:spacing w:before="60" w:beforeLines="25" w:after="60" w:line="360" w:lineRule="auto"/>
        <w:rPr>
          <w:b/>
          <w:sz w:val="21"/>
          <w:szCs w:val="21"/>
        </w:rPr>
      </w:pPr>
      <w:r>
        <w:rPr>
          <w:rFonts w:hint="eastAsia"/>
          <w:b/>
          <w:sz w:val="21"/>
          <w:szCs w:val="21"/>
        </w:rPr>
        <w:t>表</w:t>
      </w:r>
      <w:r>
        <w:rPr>
          <w:rFonts w:hint="eastAsia"/>
          <w:b/>
          <w:sz w:val="21"/>
          <w:szCs w:val="21"/>
          <w:lang w:val="en-US"/>
        </w:rPr>
        <w:t>三</w:t>
      </w:r>
      <w:r>
        <w:rPr>
          <w:rFonts w:hint="eastAsia"/>
          <w:b/>
          <w:sz w:val="21"/>
          <w:szCs w:val="21"/>
        </w:rPr>
        <w:t>：技术</w:t>
      </w:r>
      <w:r>
        <w:rPr>
          <w:rFonts w:hint="eastAsia"/>
          <w:b/>
          <w:sz w:val="21"/>
          <w:szCs w:val="21"/>
          <w:lang w:val="en-US"/>
        </w:rPr>
        <w:t>评审</w:t>
      </w:r>
      <w:r>
        <w:rPr>
          <w:rFonts w:hint="eastAsia"/>
          <w:b/>
          <w:sz w:val="21"/>
          <w:szCs w:val="21"/>
        </w:rPr>
        <w:t>表（</w:t>
      </w:r>
      <w:r>
        <w:rPr>
          <w:b/>
          <w:sz w:val="21"/>
          <w:szCs w:val="21"/>
          <w:u w:val="thick" w:color="0000FF"/>
          <w:lang w:val="en-US"/>
        </w:rPr>
        <w:t>40</w:t>
      </w:r>
      <w:r>
        <w:rPr>
          <w:rFonts w:hint="eastAsia"/>
          <w:b/>
          <w:sz w:val="21"/>
          <w:szCs w:val="21"/>
        </w:rPr>
        <w:t>分）</w:t>
      </w:r>
    </w:p>
    <w:tbl>
      <w:tblPr>
        <w:tblStyle w:val="18"/>
        <w:tblW w:w="92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686"/>
        <w:gridCol w:w="6031"/>
        <w:gridCol w:w="7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34" w:type="dxa"/>
            <w:vAlign w:val="center"/>
          </w:tcPr>
          <w:p>
            <w:pPr>
              <w:tabs>
                <w:tab w:val="left" w:pos="337"/>
              </w:tabs>
              <w:adjustRightInd w:val="0"/>
              <w:spacing w:before="60" w:beforeLines="25" w:after="60" w:afterLines="25" w:line="300" w:lineRule="auto"/>
              <w:jc w:val="both"/>
              <w:rPr>
                <w:b/>
                <w:bCs/>
                <w:kern w:val="2"/>
                <w:sz w:val="21"/>
                <w:szCs w:val="21"/>
              </w:rPr>
            </w:pPr>
            <w:r>
              <w:rPr>
                <w:rFonts w:hint="eastAsia"/>
                <w:b/>
                <w:bCs/>
                <w:kern w:val="2"/>
                <w:sz w:val="21"/>
                <w:szCs w:val="21"/>
              </w:rPr>
              <w:t>序号</w:t>
            </w:r>
          </w:p>
        </w:tc>
        <w:tc>
          <w:tcPr>
            <w:tcW w:w="1686" w:type="dxa"/>
            <w:vAlign w:val="center"/>
          </w:tcPr>
          <w:p>
            <w:pPr>
              <w:autoSpaceDE/>
              <w:autoSpaceDN/>
              <w:adjustRightInd w:val="0"/>
              <w:snapToGrid w:val="0"/>
              <w:spacing w:before="60" w:beforeLines="25" w:after="60" w:afterLines="25" w:line="300" w:lineRule="auto"/>
              <w:jc w:val="center"/>
              <w:rPr>
                <w:b/>
                <w:bCs/>
                <w:kern w:val="2"/>
                <w:sz w:val="21"/>
                <w:szCs w:val="21"/>
              </w:rPr>
            </w:pPr>
            <w:r>
              <w:rPr>
                <w:rFonts w:hint="eastAsia"/>
                <w:b/>
                <w:kern w:val="2"/>
                <w:sz w:val="21"/>
                <w:szCs w:val="21"/>
              </w:rPr>
              <w:t>评审内容</w:t>
            </w:r>
          </w:p>
        </w:tc>
        <w:tc>
          <w:tcPr>
            <w:tcW w:w="6031" w:type="dxa"/>
            <w:vAlign w:val="center"/>
          </w:tcPr>
          <w:p>
            <w:pPr>
              <w:autoSpaceDE/>
              <w:autoSpaceDN/>
              <w:adjustRightInd w:val="0"/>
              <w:snapToGrid w:val="0"/>
              <w:spacing w:before="60" w:beforeLines="25" w:after="60" w:afterLines="25" w:line="300" w:lineRule="auto"/>
              <w:jc w:val="center"/>
              <w:rPr>
                <w:b/>
                <w:bCs/>
                <w:kern w:val="2"/>
                <w:sz w:val="21"/>
                <w:szCs w:val="21"/>
              </w:rPr>
            </w:pPr>
            <w:r>
              <w:rPr>
                <w:rFonts w:hint="eastAsia"/>
                <w:b/>
                <w:kern w:val="2"/>
                <w:sz w:val="21"/>
                <w:szCs w:val="21"/>
              </w:rPr>
              <w:t>评审细则</w:t>
            </w:r>
          </w:p>
        </w:tc>
        <w:tc>
          <w:tcPr>
            <w:tcW w:w="788" w:type="dxa"/>
            <w:vAlign w:val="center"/>
          </w:tcPr>
          <w:p>
            <w:pPr>
              <w:spacing w:before="60" w:beforeLines="25" w:after="60" w:afterLines="25" w:line="300" w:lineRule="auto"/>
              <w:jc w:val="center"/>
              <w:rPr>
                <w:b/>
                <w:bCs/>
                <w:sz w:val="21"/>
                <w:szCs w:val="21"/>
              </w:rPr>
            </w:pPr>
            <w:r>
              <w:rPr>
                <w:rFonts w:hint="eastAsia"/>
                <w:b/>
                <w:bCs/>
                <w:sz w:val="21"/>
                <w:szCs w:val="21"/>
              </w:rPr>
              <w:t>分值</w:t>
            </w:r>
          </w:p>
          <w:p>
            <w:pPr>
              <w:spacing w:before="60" w:beforeLines="25" w:after="60" w:afterLines="25" w:line="300" w:lineRule="auto"/>
              <w:jc w:val="center"/>
              <w:rPr>
                <w:b/>
                <w:kern w:val="2"/>
                <w:sz w:val="21"/>
                <w:szCs w:val="21"/>
              </w:rPr>
            </w:pPr>
            <w:r>
              <w:rPr>
                <w:rFonts w:hint="eastAsia"/>
                <w:b/>
                <w:bCs/>
                <w:kern w:val="2"/>
                <w:sz w:val="21"/>
                <w:szCs w:val="21"/>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34" w:type="dxa"/>
            <w:vAlign w:val="center"/>
          </w:tcPr>
          <w:p>
            <w:pPr>
              <w:pStyle w:val="26"/>
              <w:spacing w:before="60" w:beforeLines="25" w:after="60" w:afterLines="25" w:line="300" w:lineRule="auto"/>
              <w:rPr>
                <w:rFonts w:cs="宋体"/>
              </w:rPr>
            </w:pPr>
            <w:r>
              <w:rPr>
                <w:rFonts w:cs="宋体"/>
              </w:rPr>
              <w:t>1</w:t>
            </w:r>
          </w:p>
        </w:tc>
        <w:tc>
          <w:tcPr>
            <w:tcW w:w="1686" w:type="dxa"/>
            <w:vAlign w:val="center"/>
          </w:tcPr>
          <w:p>
            <w:pPr>
              <w:spacing w:before="60" w:beforeLines="25" w:after="60" w:afterLines="25" w:line="300" w:lineRule="auto"/>
              <w:jc w:val="center"/>
              <w:rPr>
                <w:sz w:val="21"/>
                <w:szCs w:val="21"/>
              </w:rPr>
            </w:pPr>
            <w:r>
              <w:rPr>
                <w:rFonts w:hint="eastAsia"/>
                <w:sz w:val="21"/>
                <w:szCs w:val="21"/>
              </w:rPr>
              <w:t>项目整体实施方案</w:t>
            </w:r>
          </w:p>
        </w:tc>
        <w:tc>
          <w:tcPr>
            <w:tcW w:w="6031" w:type="dxa"/>
            <w:vAlign w:val="center"/>
          </w:tcPr>
          <w:p>
            <w:pPr>
              <w:widowControl/>
              <w:spacing w:before="60" w:beforeLines="25" w:after="60" w:afterLines="25" w:line="300" w:lineRule="auto"/>
              <w:rPr>
                <w:sz w:val="21"/>
                <w:szCs w:val="21"/>
              </w:rPr>
            </w:pPr>
            <w:r>
              <w:rPr>
                <w:rFonts w:hint="eastAsia"/>
                <w:sz w:val="21"/>
                <w:szCs w:val="21"/>
              </w:rPr>
              <w:t>根据各响应供应商针对本项目的整体实施方案（不含施工进度计划、质量保证措施、</w:t>
            </w:r>
            <w:r>
              <w:rPr>
                <w:rFonts w:hint="eastAsia"/>
                <w:sz w:val="21"/>
                <w:szCs w:val="21"/>
                <w:lang w:val="en-US"/>
              </w:rPr>
              <w:t>安全管理制度及</w:t>
            </w:r>
            <w:r>
              <w:rPr>
                <w:rFonts w:hint="eastAsia"/>
                <w:sz w:val="21"/>
                <w:szCs w:val="21"/>
              </w:rPr>
              <w:t>服务便利性）进行评审：</w:t>
            </w:r>
          </w:p>
          <w:p>
            <w:pPr>
              <w:widowControl/>
              <w:numPr>
                <w:ilvl w:val="255"/>
                <w:numId w:val="0"/>
              </w:numPr>
              <w:spacing w:before="60" w:beforeLines="25" w:after="60" w:afterLines="25" w:line="300" w:lineRule="auto"/>
              <w:rPr>
                <w:sz w:val="21"/>
                <w:szCs w:val="21"/>
              </w:rPr>
            </w:pPr>
            <w:r>
              <w:rPr>
                <w:sz w:val="21"/>
                <w:szCs w:val="21"/>
                <w:lang w:val="en-US"/>
              </w:rPr>
              <w:t>1、</w:t>
            </w:r>
            <w:r>
              <w:rPr>
                <w:rFonts w:hint="eastAsia"/>
                <w:sz w:val="21"/>
                <w:szCs w:val="21"/>
              </w:rPr>
              <w:t>整体施工方案内容考虑全面、具体，具有可行性、针对性，严密规范，具有可操作性，得</w:t>
            </w:r>
            <w:r>
              <w:rPr>
                <w:sz w:val="21"/>
                <w:szCs w:val="21"/>
              </w:rPr>
              <w:t>10分；</w:t>
            </w:r>
          </w:p>
          <w:p>
            <w:pPr>
              <w:widowControl/>
              <w:numPr>
                <w:ilvl w:val="255"/>
                <w:numId w:val="0"/>
              </w:numPr>
              <w:spacing w:before="60" w:beforeLines="25" w:after="60" w:afterLines="25" w:line="300" w:lineRule="auto"/>
              <w:rPr>
                <w:sz w:val="21"/>
                <w:szCs w:val="21"/>
              </w:rPr>
            </w:pPr>
            <w:r>
              <w:rPr>
                <w:sz w:val="21"/>
                <w:szCs w:val="21"/>
                <w:lang w:val="en-US"/>
              </w:rPr>
              <w:t>2、</w:t>
            </w:r>
            <w:r>
              <w:rPr>
                <w:rFonts w:hint="eastAsia"/>
                <w:sz w:val="21"/>
                <w:szCs w:val="21"/>
              </w:rPr>
              <w:t>整体施工方案内容考虑全面、具体，具有一定的可行性、针对性，严密规范，具有一定的可操作性，得</w:t>
            </w:r>
            <w:r>
              <w:rPr>
                <w:sz w:val="21"/>
                <w:szCs w:val="21"/>
                <w:lang w:val="en-US"/>
              </w:rPr>
              <w:t>7</w:t>
            </w:r>
            <w:r>
              <w:rPr>
                <w:rFonts w:hint="eastAsia"/>
                <w:sz w:val="21"/>
                <w:szCs w:val="21"/>
              </w:rPr>
              <w:t>分；</w:t>
            </w:r>
          </w:p>
          <w:p>
            <w:pPr>
              <w:widowControl/>
              <w:numPr>
                <w:ilvl w:val="255"/>
                <w:numId w:val="0"/>
              </w:numPr>
              <w:spacing w:before="60" w:beforeLines="25" w:after="60" w:afterLines="25" w:line="300" w:lineRule="auto"/>
              <w:rPr>
                <w:sz w:val="21"/>
                <w:szCs w:val="21"/>
              </w:rPr>
            </w:pPr>
            <w:r>
              <w:rPr>
                <w:sz w:val="21"/>
                <w:szCs w:val="21"/>
                <w:lang w:val="en-US"/>
              </w:rPr>
              <w:t>3、</w:t>
            </w:r>
            <w:r>
              <w:rPr>
                <w:rFonts w:hint="eastAsia"/>
                <w:sz w:val="21"/>
                <w:szCs w:val="21"/>
              </w:rPr>
              <w:t>整体施工方案内容考虑基本全面、具体，可行性、针对性一般，严密规范，可操作性不高，得</w:t>
            </w:r>
            <w:r>
              <w:rPr>
                <w:sz w:val="21"/>
                <w:szCs w:val="21"/>
                <w:lang w:val="en-US"/>
              </w:rPr>
              <w:t>4</w:t>
            </w:r>
            <w:r>
              <w:rPr>
                <w:rFonts w:hint="eastAsia"/>
                <w:sz w:val="21"/>
                <w:szCs w:val="21"/>
              </w:rPr>
              <w:t>分；</w:t>
            </w:r>
          </w:p>
          <w:p>
            <w:pPr>
              <w:widowControl/>
              <w:numPr>
                <w:ilvl w:val="255"/>
                <w:numId w:val="0"/>
              </w:numPr>
              <w:spacing w:before="60" w:beforeLines="25" w:after="60" w:afterLines="25" w:line="300" w:lineRule="auto"/>
              <w:rPr>
                <w:sz w:val="21"/>
                <w:szCs w:val="21"/>
              </w:rPr>
            </w:pPr>
            <w:r>
              <w:rPr>
                <w:sz w:val="21"/>
                <w:szCs w:val="21"/>
                <w:lang w:val="en-US"/>
              </w:rPr>
              <w:t>4、</w:t>
            </w:r>
            <w:r>
              <w:rPr>
                <w:rFonts w:hint="eastAsia"/>
                <w:sz w:val="21"/>
                <w:szCs w:val="21"/>
              </w:rPr>
              <w:t>整体施工方案内容考虑片面、简单，欠可行、针对性、可操作性低，得</w:t>
            </w:r>
            <w:r>
              <w:rPr>
                <w:sz w:val="21"/>
                <w:szCs w:val="21"/>
                <w:lang w:val="en-US"/>
              </w:rPr>
              <w:t>1</w:t>
            </w:r>
            <w:r>
              <w:rPr>
                <w:rFonts w:hint="eastAsia"/>
                <w:sz w:val="21"/>
                <w:szCs w:val="21"/>
              </w:rPr>
              <w:t>分；</w:t>
            </w:r>
          </w:p>
          <w:p>
            <w:pPr>
              <w:widowControl/>
              <w:numPr>
                <w:ilvl w:val="255"/>
                <w:numId w:val="0"/>
              </w:numPr>
              <w:spacing w:before="60" w:beforeLines="25" w:after="60" w:afterLines="25" w:line="300" w:lineRule="auto"/>
              <w:rPr>
                <w:sz w:val="21"/>
                <w:szCs w:val="21"/>
                <w:lang w:val="en-US"/>
              </w:rPr>
            </w:pPr>
            <w:r>
              <w:rPr>
                <w:sz w:val="21"/>
                <w:szCs w:val="21"/>
                <w:lang w:val="en-US"/>
              </w:rPr>
              <w:t>5、</w:t>
            </w:r>
            <w:r>
              <w:rPr>
                <w:rFonts w:hint="eastAsia"/>
                <w:sz w:val="21"/>
                <w:szCs w:val="21"/>
              </w:rPr>
              <w:t>不提供不得分。</w:t>
            </w:r>
          </w:p>
        </w:tc>
        <w:tc>
          <w:tcPr>
            <w:tcW w:w="788" w:type="dxa"/>
            <w:vAlign w:val="center"/>
          </w:tcPr>
          <w:p>
            <w:pPr>
              <w:widowControl/>
              <w:spacing w:before="60" w:beforeLines="25" w:after="60" w:afterLines="25" w:line="300" w:lineRule="auto"/>
              <w:jc w:val="center"/>
              <w:rPr>
                <w:kern w:val="2"/>
                <w:sz w:val="21"/>
                <w:szCs w:val="21"/>
                <w:lang w:val="en-US"/>
              </w:rPr>
            </w:pPr>
            <w:r>
              <w:rPr>
                <w:sz w:val="21"/>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734" w:type="dxa"/>
            <w:vAlign w:val="center"/>
          </w:tcPr>
          <w:p>
            <w:pPr>
              <w:pStyle w:val="26"/>
              <w:spacing w:before="60" w:beforeLines="25" w:after="60" w:afterLines="25" w:line="300" w:lineRule="auto"/>
              <w:rPr>
                <w:rFonts w:cs="宋体"/>
              </w:rPr>
            </w:pPr>
            <w:r>
              <w:rPr>
                <w:rFonts w:cs="宋体"/>
              </w:rPr>
              <w:t>2</w:t>
            </w:r>
          </w:p>
        </w:tc>
        <w:tc>
          <w:tcPr>
            <w:tcW w:w="1686" w:type="dxa"/>
            <w:vAlign w:val="center"/>
          </w:tcPr>
          <w:p>
            <w:pPr>
              <w:spacing w:before="60" w:beforeLines="25" w:after="60" w:afterLines="25" w:line="300" w:lineRule="auto"/>
              <w:ind w:left="-81" w:leftChars="-37" w:right="-77" w:rightChars="-35"/>
              <w:jc w:val="center"/>
              <w:rPr>
                <w:sz w:val="21"/>
                <w:szCs w:val="21"/>
                <w:lang w:val="en-US"/>
              </w:rPr>
            </w:pPr>
            <w:r>
              <w:rPr>
                <w:rFonts w:hint="eastAsia"/>
                <w:sz w:val="21"/>
                <w:szCs w:val="21"/>
              </w:rPr>
              <w:t>施工进度计划</w:t>
            </w:r>
          </w:p>
        </w:tc>
        <w:tc>
          <w:tcPr>
            <w:tcW w:w="6031" w:type="dxa"/>
            <w:vAlign w:val="center"/>
          </w:tcPr>
          <w:p>
            <w:pPr>
              <w:pStyle w:val="2"/>
              <w:spacing w:before="60" w:beforeLines="25" w:after="60" w:afterLines="25" w:line="300" w:lineRule="auto"/>
              <w:ind w:firstLine="0" w:firstLineChars="0"/>
              <w:rPr>
                <w:sz w:val="21"/>
                <w:szCs w:val="21"/>
              </w:rPr>
            </w:pPr>
            <w:r>
              <w:rPr>
                <w:rFonts w:hint="eastAsia"/>
                <w:sz w:val="21"/>
                <w:szCs w:val="21"/>
              </w:rPr>
              <w:t>根据各响应供应商针对本项目制定的施工进度计划进行评审：</w:t>
            </w:r>
          </w:p>
          <w:p>
            <w:pPr>
              <w:widowControl/>
              <w:numPr>
                <w:ilvl w:val="255"/>
                <w:numId w:val="0"/>
              </w:numPr>
              <w:spacing w:before="60" w:beforeLines="25" w:after="60" w:afterLines="25" w:line="300" w:lineRule="auto"/>
              <w:rPr>
                <w:sz w:val="21"/>
                <w:szCs w:val="21"/>
              </w:rPr>
            </w:pPr>
            <w:r>
              <w:rPr>
                <w:sz w:val="21"/>
                <w:szCs w:val="21"/>
                <w:lang w:val="en-US"/>
              </w:rPr>
              <w:t>1、</w:t>
            </w:r>
            <w:r>
              <w:rPr>
                <w:rFonts w:hint="eastAsia"/>
                <w:sz w:val="21"/>
                <w:szCs w:val="21"/>
              </w:rPr>
              <w:t>作出的进度计划满足要求，工期保证措施系统、详尽、合理、有效的，</w:t>
            </w:r>
            <w:r>
              <w:rPr>
                <w:rFonts w:hint="eastAsia"/>
                <w:sz w:val="21"/>
                <w:szCs w:val="21"/>
                <w:lang w:val="en-US"/>
              </w:rPr>
              <w:t>得</w:t>
            </w:r>
            <w:r>
              <w:rPr>
                <w:sz w:val="21"/>
                <w:szCs w:val="21"/>
                <w:lang w:val="en-US"/>
              </w:rPr>
              <w:t>10</w:t>
            </w:r>
            <w:r>
              <w:rPr>
                <w:rFonts w:hint="eastAsia"/>
                <w:sz w:val="21"/>
                <w:szCs w:val="21"/>
              </w:rPr>
              <w:t>分；</w:t>
            </w:r>
          </w:p>
          <w:p>
            <w:pPr>
              <w:widowControl/>
              <w:numPr>
                <w:ilvl w:val="255"/>
                <w:numId w:val="0"/>
              </w:numPr>
              <w:spacing w:before="60" w:beforeLines="25" w:after="60" w:afterLines="25" w:line="300" w:lineRule="auto"/>
              <w:rPr>
                <w:sz w:val="21"/>
                <w:szCs w:val="21"/>
              </w:rPr>
            </w:pPr>
            <w:r>
              <w:rPr>
                <w:sz w:val="21"/>
                <w:szCs w:val="21"/>
                <w:lang w:val="en-US"/>
              </w:rPr>
              <w:t>2、</w:t>
            </w:r>
            <w:r>
              <w:rPr>
                <w:rFonts w:hint="eastAsia"/>
                <w:sz w:val="21"/>
                <w:szCs w:val="21"/>
              </w:rPr>
              <w:t>作出的进度计划满足要求，工期保证措施有一定系统、详尽、合理、有效的，</w:t>
            </w:r>
            <w:r>
              <w:rPr>
                <w:rFonts w:hint="eastAsia"/>
                <w:sz w:val="21"/>
                <w:szCs w:val="21"/>
                <w:lang w:val="en-US"/>
              </w:rPr>
              <w:t>得</w:t>
            </w:r>
            <w:r>
              <w:rPr>
                <w:sz w:val="21"/>
                <w:szCs w:val="21"/>
                <w:lang w:val="en-US"/>
              </w:rPr>
              <w:t>7</w:t>
            </w:r>
            <w:r>
              <w:rPr>
                <w:rFonts w:hint="eastAsia"/>
                <w:sz w:val="21"/>
                <w:szCs w:val="21"/>
              </w:rPr>
              <w:t>分；</w:t>
            </w:r>
          </w:p>
          <w:p>
            <w:pPr>
              <w:widowControl/>
              <w:numPr>
                <w:ilvl w:val="255"/>
                <w:numId w:val="0"/>
              </w:numPr>
              <w:spacing w:before="60" w:beforeLines="25" w:after="60" w:afterLines="25" w:line="300" w:lineRule="auto"/>
              <w:rPr>
                <w:sz w:val="21"/>
                <w:szCs w:val="21"/>
              </w:rPr>
            </w:pPr>
            <w:r>
              <w:rPr>
                <w:sz w:val="21"/>
                <w:szCs w:val="21"/>
                <w:lang w:val="en-US"/>
              </w:rPr>
              <w:t>3、</w:t>
            </w:r>
            <w:r>
              <w:rPr>
                <w:rFonts w:hint="eastAsia"/>
                <w:sz w:val="21"/>
                <w:szCs w:val="21"/>
              </w:rPr>
              <w:t>作出的进度计划满足要求，保证措施一般，内容简单，基本合理的，</w:t>
            </w:r>
            <w:r>
              <w:rPr>
                <w:rFonts w:hint="eastAsia"/>
                <w:sz w:val="21"/>
                <w:szCs w:val="21"/>
                <w:lang w:val="en-US"/>
              </w:rPr>
              <w:t>得</w:t>
            </w:r>
            <w:r>
              <w:rPr>
                <w:sz w:val="21"/>
                <w:szCs w:val="21"/>
                <w:lang w:val="en-US"/>
              </w:rPr>
              <w:t>4</w:t>
            </w:r>
            <w:r>
              <w:rPr>
                <w:rFonts w:hint="eastAsia"/>
                <w:sz w:val="21"/>
                <w:szCs w:val="21"/>
              </w:rPr>
              <w:t>分；</w:t>
            </w:r>
          </w:p>
          <w:p>
            <w:pPr>
              <w:widowControl/>
              <w:numPr>
                <w:ilvl w:val="255"/>
                <w:numId w:val="0"/>
              </w:numPr>
              <w:spacing w:before="60" w:beforeLines="25" w:after="60" w:afterLines="25" w:line="300" w:lineRule="auto"/>
              <w:rPr>
                <w:sz w:val="21"/>
                <w:szCs w:val="21"/>
              </w:rPr>
            </w:pPr>
            <w:r>
              <w:rPr>
                <w:sz w:val="21"/>
                <w:szCs w:val="21"/>
                <w:lang w:val="en-US"/>
              </w:rPr>
              <w:t>4、</w:t>
            </w:r>
            <w:r>
              <w:rPr>
                <w:rFonts w:hint="eastAsia"/>
                <w:sz w:val="21"/>
                <w:szCs w:val="21"/>
              </w:rPr>
              <w:t>作出的进度计划不能满足要求，工期保证措施不合理的，</w:t>
            </w:r>
            <w:r>
              <w:rPr>
                <w:rFonts w:hint="eastAsia"/>
                <w:sz w:val="21"/>
                <w:szCs w:val="21"/>
                <w:lang w:val="en-US"/>
              </w:rPr>
              <w:t>得</w:t>
            </w:r>
            <w:r>
              <w:rPr>
                <w:sz w:val="21"/>
                <w:szCs w:val="21"/>
                <w:lang w:val="en-US"/>
              </w:rPr>
              <w:t>1</w:t>
            </w:r>
            <w:r>
              <w:rPr>
                <w:rFonts w:hint="eastAsia"/>
                <w:sz w:val="21"/>
                <w:szCs w:val="21"/>
              </w:rPr>
              <w:t>分。</w:t>
            </w:r>
          </w:p>
          <w:p>
            <w:pPr>
              <w:widowControl/>
              <w:numPr>
                <w:ilvl w:val="255"/>
                <w:numId w:val="0"/>
              </w:numPr>
              <w:spacing w:before="60" w:beforeLines="25" w:after="60" w:afterLines="25" w:line="300" w:lineRule="auto"/>
              <w:rPr>
                <w:sz w:val="21"/>
                <w:szCs w:val="21"/>
                <w:lang w:val="en-US"/>
              </w:rPr>
            </w:pPr>
            <w:r>
              <w:rPr>
                <w:sz w:val="21"/>
                <w:szCs w:val="21"/>
                <w:lang w:val="en-US"/>
              </w:rPr>
              <w:t>5、</w:t>
            </w:r>
            <w:r>
              <w:rPr>
                <w:rFonts w:hint="eastAsia"/>
                <w:sz w:val="21"/>
                <w:szCs w:val="21"/>
              </w:rPr>
              <w:t>不提供不得分。</w:t>
            </w:r>
          </w:p>
        </w:tc>
        <w:tc>
          <w:tcPr>
            <w:tcW w:w="788" w:type="dxa"/>
            <w:vAlign w:val="center"/>
          </w:tcPr>
          <w:p>
            <w:pPr>
              <w:spacing w:before="60" w:beforeLines="25" w:after="60" w:afterLines="25" w:line="300" w:lineRule="auto"/>
              <w:jc w:val="center"/>
              <w:rPr>
                <w:kern w:val="2"/>
                <w:sz w:val="21"/>
                <w:szCs w:val="21"/>
                <w:lang w:val="en-US"/>
              </w:rPr>
            </w:pPr>
            <w:r>
              <w:rPr>
                <w:sz w:val="21"/>
                <w:szCs w:val="21"/>
                <w:lang w:val="en-US"/>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34" w:type="dxa"/>
            <w:vAlign w:val="center"/>
          </w:tcPr>
          <w:p>
            <w:pPr>
              <w:pStyle w:val="26"/>
              <w:spacing w:before="60" w:beforeLines="25" w:after="60" w:afterLines="25" w:line="300" w:lineRule="auto"/>
              <w:rPr>
                <w:rFonts w:cs="宋体"/>
              </w:rPr>
            </w:pPr>
            <w:r>
              <w:rPr>
                <w:rFonts w:cs="宋体"/>
              </w:rPr>
              <w:t>3</w:t>
            </w:r>
          </w:p>
        </w:tc>
        <w:tc>
          <w:tcPr>
            <w:tcW w:w="1686" w:type="dxa"/>
            <w:vAlign w:val="center"/>
          </w:tcPr>
          <w:p>
            <w:pPr>
              <w:spacing w:before="60" w:beforeLines="25" w:after="60" w:afterLines="25" w:line="300" w:lineRule="auto"/>
              <w:ind w:left="-81" w:leftChars="-37" w:right="-77" w:rightChars="-35"/>
              <w:jc w:val="center"/>
              <w:rPr>
                <w:sz w:val="21"/>
                <w:szCs w:val="21"/>
                <w:lang w:val="en-US"/>
              </w:rPr>
            </w:pPr>
            <w:r>
              <w:rPr>
                <w:rFonts w:hint="eastAsia"/>
                <w:sz w:val="21"/>
                <w:szCs w:val="21"/>
              </w:rPr>
              <w:t>质量保证措施</w:t>
            </w:r>
          </w:p>
        </w:tc>
        <w:tc>
          <w:tcPr>
            <w:tcW w:w="6031" w:type="dxa"/>
            <w:vAlign w:val="center"/>
          </w:tcPr>
          <w:p>
            <w:pPr>
              <w:pStyle w:val="2"/>
              <w:spacing w:before="60" w:beforeLines="25" w:after="60" w:afterLines="25" w:line="300" w:lineRule="auto"/>
              <w:ind w:firstLine="0" w:firstLineChars="0"/>
              <w:rPr>
                <w:sz w:val="21"/>
                <w:szCs w:val="21"/>
              </w:rPr>
            </w:pPr>
            <w:r>
              <w:rPr>
                <w:rFonts w:hint="eastAsia"/>
                <w:sz w:val="21"/>
                <w:szCs w:val="21"/>
              </w:rPr>
              <w:t>根据各响应供应商提供的质量保证措施进行评审：</w:t>
            </w:r>
          </w:p>
          <w:p>
            <w:pPr>
              <w:widowControl/>
              <w:numPr>
                <w:ilvl w:val="255"/>
                <w:numId w:val="0"/>
              </w:numPr>
              <w:spacing w:before="60" w:beforeLines="25" w:after="60" w:afterLines="25" w:line="300" w:lineRule="auto"/>
              <w:rPr>
                <w:sz w:val="21"/>
                <w:szCs w:val="21"/>
              </w:rPr>
            </w:pPr>
            <w:r>
              <w:rPr>
                <w:sz w:val="21"/>
                <w:szCs w:val="21"/>
                <w:lang w:val="en-US"/>
              </w:rPr>
              <w:t>1、</w:t>
            </w:r>
            <w:r>
              <w:rPr>
                <w:rFonts w:hint="eastAsia"/>
                <w:sz w:val="21"/>
                <w:szCs w:val="21"/>
              </w:rPr>
              <w:t>质量保证措施合理、可行，具有保障，具有可操作性，得</w:t>
            </w:r>
            <w:r>
              <w:rPr>
                <w:sz w:val="21"/>
                <w:szCs w:val="21"/>
              </w:rPr>
              <w:t>10分；</w:t>
            </w:r>
          </w:p>
          <w:p>
            <w:pPr>
              <w:widowControl/>
              <w:numPr>
                <w:ilvl w:val="255"/>
                <w:numId w:val="0"/>
              </w:numPr>
              <w:spacing w:before="60" w:beforeLines="25" w:after="60" w:afterLines="25" w:line="300" w:lineRule="auto"/>
              <w:rPr>
                <w:sz w:val="21"/>
                <w:szCs w:val="21"/>
              </w:rPr>
            </w:pPr>
            <w:r>
              <w:rPr>
                <w:sz w:val="21"/>
                <w:szCs w:val="21"/>
                <w:lang w:val="en-US"/>
              </w:rPr>
              <w:t>2、</w:t>
            </w:r>
            <w:r>
              <w:rPr>
                <w:rFonts w:hint="eastAsia"/>
                <w:sz w:val="21"/>
                <w:szCs w:val="21"/>
              </w:rPr>
              <w:t>质量保证措施合理、具有一定可行性、具有一定保障，具有一定可操作性，得</w:t>
            </w:r>
            <w:r>
              <w:rPr>
                <w:sz w:val="21"/>
                <w:szCs w:val="21"/>
                <w:lang w:val="en-US"/>
              </w:rPr>
              <w:t>7</w:t>
            </w:r>
            <w:r>
              <w:rPr>
                <w:rFonts w:hint="eastAsia"/>
                <w:sz w:val="21"/>
                <w:szCs w:val="21"/>
              </w:rPr>
              <w:t>分；</w:t>
            </w:r>
          </w:p>
          <w:p>
            <w:pPr>
              <w:widowControl/>
              <w:numPr>
                <w:ilvl w:val="255"/>
                <w:numId w:val="0"/>
              </w:numPr>
              <w:spacing w:before="60" w:beforeLines="25" w:after="60" w:afterLines="25" w:line="300" w:lineRule="auto"/>
              <w:rPr>
                <w:sz w:val="21"/>
                <w:szCs w:val="21"/>
              </w:rPr>
            </w:pPr>
            <w:r>
              <w:rPr>
                <w:sz w:val="21"/>
                <w:szCs w:val="21"/>
                <w:lang w:val="en-US"/>
              </w:rPr>
              <w:t>3、</w:t>
            </w:r>
            <w:r>
              <w:rPr>
                <w:rFonts w:hint="eastAsia"/>
                <w:sz w:val="21"/>
                <w:szCs w:val="21"/>
              </w:rPr>
              <w:t>质量保证措施基本合理、基本具有可行性、基本具有保障，基本具有可操作性，得</w:t>
            </w:r>
            <w:r>
              <w:rPr>
                <w:sz w:val="21"/>
                <w:szCs w:val="21"/>
                <w:lang w:val="en-US"/>
              </w:rPr>
              <w:t>4</w:t>
            </w:r>
            <w:r>
              <w:rPr>
                <w:rFonts w:hint="eastAsia"/>
                <w:sz w:val="21"/>
                <w:szCs w:val="21"/>
              </w:rPr>
              <w:t>分；</w:t>
            </w:r>
          </w:p>
          <w:p>
            <w:pPr>
              <w:widowControl/>
              <w:numPr>
                <w:ilvl w:val="255"/>
                <w:numId w:val="0"/>
              </w:numPr>
              <w:spacing w:before="60" w:beforeLines="25" w:after="60" w:afterLines="25" w:line="300" w:lineRule="auto"/>
              <w:rPr>
                <w:sz w:val="21"/>
                <w:szCs w:val="21"/>
              </w:rPr>
            </w:pPr>
            <w:r>
              <w:rPr>
                <w:sz w:val="21"/>
                <w:szCs w:val="21"/>
                <w:lang w:val="en-US"/>
              </w:rPr>
              <w:t>4、</w:t>
            </w:r>
            <w:r>
              <w:rPr>
                <w:rFonts w:hint="eastAsia"/>
                <w:sz w:val="21"/>
                <w:szCs w:val="21"/>
              </w:rPr>
              <w:t>质量保证措施不合理、不具可行性、不具保障，不具可操作性，得</w:t>
            </w:r>
            <w:r>
              <w:rPr>
                <w:sz w:val="21"/>
                <w:szCs w:val="21"/>
                <w:lang w:val="en-US"/>
              </w:rPr>
              <w:t>1</w:t>
            </w:r>
            <w:r>
              <w:rPr>
                <w:rFonts w:hint="eastAsia"/>
                <w:sz w:val="21"/>
                <w:szCs w:val="21"/>
              </w:rPr>
              <w:t>分。</w:t>
            </w:r>
          </w:p>
          <w:p>
            <w:pPr>
              <w:widowControl/>
              <w:numPr>
                <w:ilvl w:val="255"/>
                <w:numId w:val="0"/>
              </w:numPr>
              <w:spacing w:before="60" w:beforeLines="25" w:after="60" w:afterLines="25" w:line="300" w:lineRule="auto"/>
              <w:rPr>
                <w:sz w:val="21"/>
                <w:szCs w:val="21"/>
                <w:lang w:val="en-US"/>
              </w:rPr>
            </w:pPr>
            <w:r>
              <w:rPr>
                <w:sz w:val="21"/>
                <w:szCs w:val="21"/>
                <w:lang w:val="en-US"/>
              </w:rPr>
              <w:t>5、不提供不得分。</w:t>
            </w:r>
          </w:p>
        </w:tc>
        <w:tc>
          <w:tcPr>
            <w:tcW w:w="788" w:type="dxa"/>
            <w:vAlign w:val="center"/>
          </w:tcPr>
          <w:p>
            <w:pPr>
              <w:spacing w:before="60" w:beforeLines="25" w:after="60" w:afterLines="25" w:line="300" w:lineRule="auto"/>
              <w:jc w:val="center"/>
              <w:rPr>
                <w:kern w:val="2"/>
                <w:sz w:val="21"/>
                <w:szCs w:val="21"/>
                <w:lang w:val="en-US"/>
              </w:rPr>
            </w:pPr>
            <w:r>
              <w:rPr>
                <w:sz w:val="21"/>
                <w:szCs w:val="21"/>
                <w:lang w:val="en-US"/>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vAlign w:val="center"/>
          </w:tcPr>
          <w:p>
            <w:pPr>
              <w:pStyle w:val="26"/>
              <w:spacing w:before="60" w:beforeLines="25" w:after="60" w:afterLines="25" w:line="300" w:lineRule="auto"/>
              <w:rPr>
                <w:rFonts w:cs="宋体"/>
              </w:rPr>
            </w:pPr>
            <w:r>
              <w:rPr>
                <w:rFonts w:cs="宋体"/>
              </w:rPr>
              <w:t>4</w:t>
            </w:r>
          </w:p>
        </w:tc>
        <w:tc>
          <w:tcPr>
            <w:tcW w:w="1686" w:type="dxa"/>
            <w:vAlign w:val="center"/>
          </w:tcPr>
          <w:p>
            <w:pPr>
              <w:spacing w:before="60" w:beforeLines="25" w:after="60" w:afterLines="25" w:line="300" w:lineRule="auto"/>
              <w:jc w:val="center"/>
              <w:rPr>
                <w:sz w:val="21"/>
                <w:szCs w:val="21"/>
                <w:lang w:val="en-US"/>
              </w:rPr>
            </w:pPr>
            <w:r>
              <w:rPr>
                <w:rFonts w:hint="eastAsia"/>
                <w:sz w:val="21"/>
                <w:szCs w:val="21"/>
                <w:lang w:val="en-US"/>
              </w:rPr>
              <w:t>安全管理制度</w:t>
            </w:r>
          </w:p>
        </w:tc>
        <w:tc>
          <w:tcPr>
            <w:tcW w:w="6031" w:type="dxa"/>
            <w:vAlign w:val="center"/>
          </w:tcPr>
          <w:p>
            <w:pPr>
              <w:widowControl/>
              <w:spacing w:before="60" w:beforeLines="25" w:after="60" w:afterLines="25" w:line="300" w:lineRule="auto"/>
              <w:rPr>
                <w:sz w:val="21"/>
                <w:szCs w:val="21"/>
              </w:rPr>
            </w:pPr>
            <w:r>
              <w:rPr>
                <w:rFonts w:hint="eastAsia"/>
                <w:sz w:val="21"/>
                <w:szCs w:val="21"/>
              </w:rPr>
              <w:t>根据各响应供应商提供的</w:t>
            </w:r>
            <w:r>
              <w:rPr>
                <w:rFonts w:hint="eastAsia"/>
                <w:sz w:val="21"/>
                <w:szCs w:val="21"/>
                <w:lang w:val="en-US"/>
              </w:rPr>
              <w:t>安全管理制度</w:t>
            </w:r>
            <w:r>
              <w:rPr>
                <w:rFonts w:hint="eastAsia"/>
                <w:sz w:val="21"/>
                <w:szCs w:val="21"/>
              </w:rPr>
              <w:t>进行评审：</w:t>
            </w:r>
          </w:p>
          <w:p>
            <w:pPr>
              <w:widowControl/>
              <w:numPr>
                <w:ilvl w:val="255"/>
                <w:numId w:val="0"/>
              </w:numPr>
              <w:spacing w:before="60" w:beforeLines="25" w:after="60" w:afterLines="25" w:line="300" w:lineRule="auto"/>
              <w:rPr>
                <w:sz w:val="21"/>
                <w:szCs w:val="21"/>
                <w:lang w:val="en-US"/>
              </w:rPr>
            </w:pPr>
            <w:r>
              <w:rPr>
                <w:sz w:val="21"/>
                <w:szCs w:val="21"/>
                <w:lang w:val="en-US"/>
              </w:rPr>
              <w:t>1、安全管理制度及办法很具体、可操作强，安全组织技术措施很具体、更优越，得5分；</w:t>
            </w:r>
          </w:p>
          <w:p>
            <w:pPr>
              <w:widowControl/>
              <w:numPr>
                <w:ilvl w:val="255"/>
                <w:numId w:val="0"/>
              </w:numPr>
              <w:spacing w:before="60" w:beforeLines="25" w:after="60" w:afterLines="25" w:line="300" w:lineRule="auto"/>
              <w:rPr>
                <w:sz w:val="21"/>
                <w:szCs w:val="21"/>
                <w:lang w:val="en-US"/>
              </w:rPr>
            </w:pPr>
            <w:r>
              <w:rPr>
                <w:sz w:val="21"/>
                <w:szCs w:val="21"/>
                <w:lang w:val="en-US"/>
              </w:rPr>
              <w:t>2、安全管理制度及办法</w:t>
            </w:r>
            <w:r>
              <w:rPr>
                <w:rFonts w:hint="eastAsia"/>
                <w:sz w:val="21"/>
                <w:szCs w:val="21"/>
                <w:lang w:val="en-US"/>
              </w:rPr>
              <w:t>有一定</w:t>
            </w:r>
            <w:r>
              <w:rPr>
                <w:sz w:val="21"/>
                <w:szCs w:val="21"/>
                <w:lang w:val="en-US"/>
              </w:rPr>
              <w:t>可操作</w:t>
            </w:r>
            <w:r>
              <w:rPr>
                <w:rFonts w:hint="eastAsia"/>
                <w:sz w:val="21"/>
                <w:szCs w:val="21"/>
                <w:lang w:val="en-US"/>
              </w:rPr>
              <w:t>性</w:t>
            </w:r>
            <w:r>
              <w:rPr>
                <w:sz w:val="21"/>
                <w:szCs w:val="21"/>
                <w:lang w:val="en-US"/>
              </w:rPr>
              <w:t>，安全组织技术措施</w:t>
            </w:r>
            <w:r>
              <w:rPr>
                <w:rFonts w:hint="eastAsia"/>
                <w:sz w:val="21"/>
                <w:szCs w:val="21"/>
                <w:lang w:val="en-US"/>
              </w:rPr>
              <w:t>相对</w:t>
            </w:r>
            <w:r>
              <w:rPr>
                <w:sz w:val="21"/>
                <w:szCs w:val="21"/>
                <w:lang w:val="en-US"/>
              </w:rPr>
              <w:t>具体</w:t>
            </w:r>
            <w:r>
              <w:rPr>
                <w:rFonts w:hint="eastAsia"/>
                <w:sz w:val="21"/>
                <w:szCs w:val="21"/>
                <w:lang w:val="en-US"/>
              </w:rPr>
              <w:t>的</w:t>
            </w:r>
            <w:r>
              <w:rPr>
                <w:sz w:val="21"/>
                <w:szCs w:val="21"/>
                <w:lang w:val="en-US"/>
              </w:rPr>
              <w:t xml:space="preserve">，得4分； </w:t>
            </w:r>
          </w:p>
          <w:p>
            <w:pPr>
              <w:widowControl/>
              <w:numPr>
                <w:ilvl w:val="255"/>
                <w:numId w:val="0"/>
              </w:numPr>
              <w:spacing w:before="60" w:beforeLines="25" w:after="60" w:afterLines="25" w:line="300" w:lineRule="auto"/>
              <w:rPr>
                <w:sz w:val="21"/>
                <w:szCs w:val="21"/>
                <w:lang w:val="en-US"/>
              </w:rPr>
            </w:pPr>
            <w:r>
              <w:rPr>
                <w:sz w:val="21"/>
                <w:szCs w:val="21"/>
                <w:lang w:val="en-US"/>
              </w:rPr>
              <w:t>3、安全管理制度及办法</w:t>
            </w:r>
            <w:r>
              <w:rPr>
                <w:rFonts w:hint="eastAsia"/>
                <w:sz w:val="21"/>
                <w:szCs w:val="21"/>
                <w:lang w:val="en-US"/>
              </w:rPr>
              <w:t>简单</w:t>
            </w:r>
            <w:r>
              <w:rPr>
                <w:sz w:val="21"/>
                <w:szCs w:val="21"/>
                <w:lang w:val="en-US"/>
              </w:rPr>
              <w:t>、可操作</w:t>
            </w:r>
            <w:r>
              <w:rPr>
                <w:rFonts w:hint="eastAsia"/>
                <w:sz w:val="21"/>
                <w:szCs w:val="21"/>
                <w:lang w:val="en-US"/>
              </w:rPr>
              <w:t>性不高</w:t>
            </w:r>
            <w:r>
              <w:rPr>
                <w:sz w:val="21"/>
                <w:szCs w:val="21"/>
                <w:lang w:val="en-US"/>
              </w:rPr>
              <w:t>，安全组织技术措施</w:t>
            </w:r>
            <w:r>
              <w:rPr>
                <w:rFonts w:hint="eastAsia"/>
                <w:sz w:val="21"/>
                <w:szCs w:val="21"/>
                <w:lang w:val="en-US"/>
              </w:rPr>
              <w:t>可行性不高</w:t>
            </w:r>
            <w:r>
              <w:rPr>
                <w:sz w:val="21"/>
                <w:szCs w:val="21"/>
                <w:lang w:val="en-US"/>
              </w:rPr>
              <w:t>，得3分；</w:t>
            </w:r>
          </w:p>
          <w:p>
            <w:pPr>
              <w:widowControl/>
              <w:numPr>
                <w:ilvl w:val="255"/>
                <w:numId w:val="0"/>
              </w:numPr>
              <w:spacing w:before="60" w:beforeLines="25" w:after="60" w:afterLines="25" w:line="300" w:lineRule="auto"/>
              <w:rPr>
                <w:sz w:val="21"/>
                <w:szCs w:val="21"/>
                <w:lang w:val="en-US"/>
              </w:rPr>
            </w:pPr>
            <w:r>
              <w:rPr>
                <w:sz w:val="21"/>
                <w:szCs w:val="21"/>
                <w:lang w:val="en-US"/>
              </w:rPr>
              <w:t>4、安全管理制度及办法差、可操作</w:t>
            </w:r>
            <w:r>
              <w:rPr>
                <w:rFonts w:hint="eastAsia"/>
                <w:sz w:val="21"/>
                <w:szCs w:val="21"/>
                <w:lang w:val="en-US"/>
              </w:rPr>
              <w:t>性</w:t>
            </w:r>
            <w:r>
              <w:rPr>
                <w:sz w:val="21"/>
                <w:szCs w:val="21"/>
                <w:lang w:val="en-US"/>
              </w:rPr>
              <w:t>差，安全组织技术措施差，得2分。</w:t>
            </w:r>
          </w:p>
          <w:p>
            <w:pPr>
              <w:widowControl/>
              <w:numPr>
                <w:ilvl w:val="255"/>
                <w:numId w:val="0"/>
              </w:numPr>
              <w:spacing w:before="60" w:beforeLines="25" w:after="60" w:afterLines="25" w:line="300" w:lineRule="auto"/>
              <w:rPr>
                <w:sz w:val="21"/>
                <w:szCs w:val="21"/>
                <w:lang w:val="en-US"/>
              </w:rPr>
            </w:pPr>
            <w:r>
              <w:rPr>
                <w:sz w:val="21"/>
                <w:szCs w:val="21"/>
                <w:lang w:val="en-US"/>
              </w:rPr>
              <w:t>5、不提供不得分。</w:t>
            </w:r>
          </w:p>
        </w:tc>
        <w:tc>
          <w:tcPr>
            <w:tcW w:w="788" w:type="dxa"/>
            <w:vAlign w:val="center"/>
          </w:tcPr>
          <w:p>
            <w:pPr>
              <w:widowControl/>
              <w:spacing w:before="60" w:beforeLines="25" w:after="60" w:afterLines="25" w:line="300" w:lineRule="auto"/>
              <w:jc w:val="center"/>
              <w:rPr>
                <w:kern w:val="2"/>
                <w:sz w:val="21"/>
                <w:szCs w:val="21"/>
                <w:lang w:val="en-US"/>
              </w:rPr>
            </w:pPr>
            <w:r>
              <w:rPr>
                <w:sz w:val="21"/>
                <w:szCs w:val="21"/>
                <w:lang w:val="en-US"/>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34" w:type="dxa"/>
            <w:vAlign w:val="center"/>
          </w:tcPr>
          <w:p>
            <w:pPr>
              <w:pStyle w:val="26"/>
              <w:spacing w:before="60" w:beforeLines="25" w:after="60" w:afterLines="25" w:line="300" w:lineRule="auto"/>
              <w:rPr>
                <w:rFonts w:cs="宋体"/>
              </w:rPr>
            </w:pPr>
            <w:r>
              <w:rPr>
                <w:rFonts w:cs="宋体"/>
              </w:rPr>
              <w:t>5</w:t>
            </w:r>
          </w:p>
        </w:tc>
        <w:tc>
          <w:tcPr>
            <w:tcW w:w="1686" w:type="dxa"/>
            <w:vAlign w:val="center"/>
          </w:tcPr>
          <w:p>
            <w:pPr>
              <w:spacing w:before="60" w:beforeLines="25" w:after="60" w:afterLines="25" w:line="300" w:lineRule="auto"/>
              <w:jc w:val="center"/>
              <w:rPr>
                <w:sz w:val="21"/>
                <w:szCs w:val="21"/>
                <w:lang w:val="en-US"/>
              </w:rPr>
            </w:pPr>
            <w:r>
              <w:rPr>
                <w:rFonts w:hint="eastAsia"/>
                <w:sz w:val="21"/>
                <w:szCs w:val="21"/>
              </w:rPr>
              <w:t>服务便利性</w:t>
            </w:r>
          </w:p>
        </w:tc>
        <w:tc>
          <w:tcPr>
            <w:tcW w:w="6031" w:type="dxa"/>
            <w:vAlign w:val="center"/>
          </w:tcPr>
          <w:p>
            <w:pPr>
              <w:pStyle w:val="2"/>
              <w:spacing w:before="60" w:beforeLines="25" w:after="60" w:afterLines="25" w:line="300" w:lineRule="auto"/>
              <w:ind w:firstLine="0" w:firstLineChars="0"/>
              <w:rPr>
                <w:sz w:val="21"/>
                <w:szCs w:val="21"/>
                <w:lang w:val="en-US"/>
              </w:rPr>
            </w:pPr>
            <w:r>
              <w:rPr>
                <w:rFonts w:hint="eastAsia"/>
                <w:sz w:val="21"/>
                <w:szCs w:val="21"/>
                <w:lang w:val="en-US"/>
              </w:rPr>
              <w:t>根据各响应供应商提供的服务</w:t>
            </w:r>
            <w:r>
              <w:rPr>
                <w:rFonts w:hint="eastAsia"/>
                <w:sz w:val="21"/>
                <w:szCs w:val="21"/>
              </w:rPr>
              <w:t>便利性</w:t>
            </w:r>
            <w:r>
              <w:rPr>
                <w:rFonts w:hint="eastAsia"/>
                <w:sz w:val="21"/>
                <w:szCs w:val="21"/>
                <w:lang w:val="en-US"/>
              </w:rPr>
              <w:t>、响应采购人服务要求的可行性及优越性进行评审：</w:t>
            </w:r>
          </w:p>
          <w:p>
            <w:pPr>
              <w:widowControl/>
              <w:numPr>
                <w:ilvl w:val="255"/>
                <w:numId w:val="0"/>
              </w:numPr>
              <w:spacing w:before="60" w:beforeLines="25" w:after="60" w:afterLines="25" w:line="300" w:lineRule="auto"/>
              <w:rPr>
                <w:sz w:val="21"/>
                <w:szCs w:val="21"/>
                <w:lang w:val="en-US"/>
              </w:rPr>
            </w:pPr>
            <w:r>
              <w:rPr>
                <w:sz w:val="21"/>
                <w:szCs w:val="21"/>
                <w:lang w:val="en-US"/>
              </w:rPr>
              <w:t>1、服务便捷性高，响应迅速，服务措施合理的，得5分；</w:t>
            </w:r>
          </w:p>
          <w:p>
            <w:pPr>
              <w:widowControl/>
              <w:numPr>
                <w:ilvl w:val="255"/>
                <w:numId w:val="0"/>
              </w:numPr>
              <w:spacing w:before="60" w:beforeLines="25" w:after="60" w:afterLines="25" w:line="300" w:lineRule="auto"/>
              <w:rPr>
                <w:sz w:val="21"/>
                <w:szCs w:val="21"/>
                <w:lang w:val="en-US"/>
              </w:rPr>
            </w:pPr>
            <w:r>
              <w:rPr>
                <w:sz w:val="21"/>
                <w:szCs w:val="21"/>
                <w:lang w:val="en-US"/>
              </w:rPr>
              <w:t>2、服务便捷性</w:t>
            </w:r>
            <w:r>
              <w:rPr>
                <w:rFonts w:hint="eastAsia"/>
                <w:sz w:val="21"/>
                <w:szCs w:val="21"/>
                <w:lang w:val="en-US"/>
              </w:rPr>
              <w:t>及</w:t>
            </w:r>
            <w:r>
              <w:rPr>
                <w:sz w:val="21"/>
                <w:szCs w:val="21"/>
                <w:lang w:val="en-US"/>
              </w:rPr>
              <w:t>响应</w:t>
            </w:r>
            <w:r>
              <w:rPr>
                <w:rFonts w:hint="eastAsia"/>
                <w:sz w:val="21"/>
                <w:szCs w:val="21"/>
                <w:lang w:val="en-US"/>
              </w:rPr>
              <w:t>基本迅速</w:t>
            </w:r>
            <w:r>
              <w:rPr>
                <w:sz w:val="21"/>
                <w:szCs w:val="21"/>
                <w:lang w:val="en-US"/>
              </w:rPr>
              <w:t>，服务措施</w:t>
            </w:r>
            <w:r>
              <w:rPr>
                <w:rFonts w:hint="eastAsia"/>
                <w:sz w:val="21"/>
                <w:szCs w:val="21"/>
                <w:lang w:val="en-US"/>
              </w:rPr>
              <w:t>基本合理</w:t>
            </w:r>
            <w:r>
              <w:rPr>
                <w:sz w:val="21"/>
                <w:szCs w:val="21"/>
                <w:lang w:val="en-US"/>
              </w:rPr>
              <w:t>的，得4分；</w:t>
            </w:r>
          </w:p>
          <w:p>
            <w:pPr>
              <w:widowControl/>
              <w:numPr>
                <w:ilvl w:val="255"/>
                <w:numId w:val="0"/>
              </w:numPr>
              <w:spacing w:before="60" w:beforeLines="25" w:after="60" w:afterLines="25" w:line="300" w:lineRule="auto"/>
              <w:rPr>
                <w:sz w:val="21"/>
                <w:szCs w:val="21"/>
                <w:lang w:val="en-US"/>
              </w:rPr>
            </w:pPr>
            <w:r>
              <w:rPr>
                <w:sz w:val="21"/>
                <w:szCs w:val="21"/>
                <w:lang w:val="en-US"/>
              </w:rPr>
              <w:t>3、服务便捷性</w:t>
            </w:r>
            <w:r>
              <w:rPr>
                <w:rFonts w:hint="eastAsia"/>
                <w:sz w:val="21"/>
                <w:szCs w:val="21"/>
                <w:lang w:val="en-US"/>
              </w:rPr>
              <w:t>不高</w:t>
            </w:r>
            <w:r>
              <w:rPr>
                <w:sz w:val="21"/>
                <w:szCs w:val="21"/>
                <w:lang w:val="en-US"/>
              </w:rPr>
              <w:t>，响应一般，服务措施</w:t>
            </w:r>
            <w:r>
              <w:rPr>
                <w:rFonts w:hint="eastAsia"/>
                <w:sz w:val="21"/>
                <w:szCs w:val="21"/>
                <w:lang w:val="en-US"/>
              </w:rPr>
              <w:t>简单</w:t>
            </w:r>
            <w:r>
              <w:rPr>
                <w:sz w:val="21"/>
                <w:szCs w:val="21"/>
                <w:lang w:val="en-US"/>
              </w:rPr>
              <w:t>的，得3分；</w:t>
            </w:r>
          </w:p>
          <w:p>
            <w:pPr>
              <w:widowControl/>
              <w:numPr>
                <w:ilvl w:val="255"/>
                <w:numId w:val="0"/>
              </w:numPr>
              <w:spacing w:before="60" w:beforeLines="25" w:after="60" w:afterLines="25" w:line="300" w:lineRule="auto"/>
              <w:rPr>
                <w:sz w:val="21"/>
                <w:szCs w:val="21"/>
                <w:lang w:val="en-US"/>
              </w:rPr>
            </w:pPr>
            <w:r>
              <w:rPr>
                <w:sz w:val="21"/>
                <w:szCs w:val="21"/>
                <w:lang w:val="en-US"/>
              </w:rPr>
              <w:t>4、服务便捷性差，响应慢，服务措施差，得2分；</w:t>
            </w:r>
          </w:p>
          <w:p>
            <w:pPr>
              <w:widowControl/>
              <w:numPr>
                <w:ilvl w:val="255"/>
                <w:numId w:val="0"/>
              </w:numPr>
              <w:spacing w:before="60" w:beforeLines="25" w:after="60" w:afterLines="25" w:line="300" w:lineRule="auto"/>
              <w:rPr>
                <w:sz w:val="21"/>
                <w:szCs w:val="21"/>
                <w:lang w:val="en-US"/>
              </w:rPr>
            </w:pPr>
            <w:r>
              <w:rPr>
                <w:sz w:val="21"/>
                <w:szCs w:val="21"/>
                <w:lang w:val="en-US"/>
              </w:rPr>
              <w:t>5、不提供不得分。</w:t>
            </w:r>
          </w:p>
        </w:tc>
        <w:tc>
          <w:tcPr>
            <w:tcW w:w="788" w:type="dxa"/>
            <w:vAlign w:val="center"/>
          </w:tcPr>
          <w:p>
            <w:pPr>
              <w:spacing w:before="60" w:beforeLines="25" w:after="60" w:afterLines="25" w:line="300" w:lineRule="auto"/>
              <w:jc w:val="center"/>
              <w:rPr>
                <w:kern w:val="2"/>
                <w:sz w:val="21"/>
                <w:szCs w:val="21"/>
                <w:lang w:val="en-US"/>
              </w:rPr>
            </w:pPr>
            <w:r>
              <w:rPr>
                <w:sz w:val="21"/>
                <w:szCs w:val="21"/>
                <w:lang w:val="en-US"/>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451" w:type="dxa"/>
            <w:gridSpan w:val="3"/>
            <w:vAlign w:val="center"/>
          </w:tcPr>
          <w:p>
            <w:pPr>
              <w:spacing w:before="60" w:beforeLines="25" w:after="60" w:afterLines="25" w:line="300" w:lineRule="auto"/>
              <w:jc w:val="center"/>
              <w:rPr>
                <w:kern w:val="2"/>
                <w:sz w:val="21"/>
                <w:szCs w:val="21"/>
                <w:lang w:val="en-US"/>
              </w:rPr>
            </w:pPr>
            <w:r>
              <w:rPr>
                <w:rFonts w:hint="eastAsia"/>
                <w:kern w:val="2"/>
                <w:sz w:val="21"/>
                <w:szCs w:val="21"/>
                <w:lang w:val="en-US"/>
              </w:rPr>
              <w:t>合计</w:t>
            </w:r>
          </w:p>
        </w:tc>
        <w:tc>
          <w:tcPr>
            <w:tcW w:w="788" w:type="dxa"/>
            <w:vAlign w:val="center"/>
          </w:tcPr>
          <w:p>
            <w:pPr>
              <w:tabs>
                <w:tab w:val="left" w:pos="337"/>
              </w:tabs>
              <w:adjustRightInd w:val="0"/>
              <w:spacing w:before="60" w:beforeLines="25" w:after="60" w:afterLines="25" w:line="300" w:lineRule="auto"/>
              <w:jc w:val="center"/>
              <w:rPr>
                <w:b/>
                <w:bCs/>
                <w:kern w:val="2"/>
                <w:sz w:val="21"/>
                <w:szCs w:val="21"/>
                <w:lang w:val="en-US"/>
              </w:rPr>
            </w:pPr>
            <w:r>
              <w:rPr>
                <w:kern w:val="2"/>
                <w:sz w:val="21"/>
                <w:szCs w:val="21"/>
                <w:lang w:val="en-US"/>
              </w:rPr>
              <w:t>40</w:t>
            </w:r>
          </w:p>
        </w:tc>
      </w:tr>
    </w:tbl>
    <w:p>
      <w:pPr>
        <w:tabs>
          <w:tab w:val="left" w:pos="720"/>
        </w:tabs>
        <w:spacing w:before="60" w:beforeLines="25" w:after="60" w:line="360" w:lineRule="auto"/>
        <w:ind w:firstLine="210" w:firstLineChars="100"/>
        <w:rPr>
          <w:bCs/>
          <w:sz w:val="21"/>
          <w:szCs w:val="21"/>
        </w:rPr>
      </w:pPr>
    </w:p>
    <w:p>
      <w:pPr>
        <w:tabs>
          <w:tab w:val="left" w:pos="720"/>
        </w:tabs>
        <w:spacing w:before="60" w:beforeLines="25" w:after="60" w:line="360" w:lineRule="auto"/>
        <w:ind w:firstLine="210" w:firstLineChars="100"/>
        <w:rPr>
          <w:b/>
          <w:sz w:val="21"/>
          <w:szCs w:val="21"/>
        </w:rPr>
      </w:pPr>
      <w:r>
        <w:rPr>
          <w:rFonts w:hint="eastAsia"/>
          <w:bCs/>
          <w:sz w:val="21"/>
          <w:szCs w:val="21"/>
        </w:rPr>
        <w:t>注：各评委按规定的范围内进行量化打分，并统计总分。</w:t>
      </w:r>
    </w:p>
    <w:p>
      <w:pPr>
        <w:tabs>
          <w:tab w:val="left" w:pos="720"/>
        </w:tabs>
        <w:spacing w:before="60" w:beforeLines="25" w:after="60" w:line="360" w:lineRule="auto"/>
        <w:rPr>
          <w:b/>
          <w:sz w:val="21"/>
          <w:szCs w:val="21"/>
        </w:rPr>
      </w:pPr>
      <w:r>
        <w:rPr>
          <w:rFonts w:hint="eastAsia"/>
          <w:b/>
          <w:sz w:val="21"/>
          <w:szCs w:val="21"/>
        </w:rPr>
        <w:t>表</w:t>
      </w:r>
      <w:r>
        <w:rPr>
          <w:rFonts w:hint="eastAsia"/>
          <w:b/>
          <w:sz w:val="21"/>
          <w:szCs w:val="21"/>
          <w:lang w:val="en-US"/>
        </w:rPr>
        <w:t>四</w:t>
      </w:r>
      <w:r>
        <w:rPr>
          <w:rFonts w:hint="eastAsia"/>
          <w:b/>
          <w:sz w:val="21"/>
          <w:szCs w:val="21"/>
        </w:rPr>
        <w:t>：价格评审表（</w:t>
      </w:r>
      <w:r>
        <w:rPr>
          <w:b/>
          <w:sz w:val="21"/>
          <w:szCs w:val="21"/>
          <w:u w:val="thick" w:color="0000FF"/>
          <w:lang w:val="en-US"/>
        </w:rPr>
        <w:t>30</w:t>
      </w:r>
      <w:r>
        <w:rPr>
          <w:rFonts w:hint="eastAsia"/>
          <w:b/>
          <w:sz w:val="21"/>
          <w:szCs w:val="21"/>
        </w:rPr>
        <w:t>分）</w:t>
      </w:r>
    </w:p>
    <w:tbl>
      <w:tblPr>
        <w:tblStyle w:val="18"/>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8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1185" w:type="dxa"/>
            <w:vAlign w:val="center"/>
          </w:tcPr>
          <w:p>
            <w:pPr>
              <w:tabs>
                <w:tab w:val="left" w:pos="972"/>
              </w:tabs>
              <w:spacing w:line="360" w:lineRule="auto"/>
              <w:rPr>
                <w:kern w:val="2"/>
                <w:sz w:val="21"/>
                <w:szCs w:val="21"/>
                <w:lang w:val="en-US" w:bidi="ar-SA"/>
              </w:rPr>
            </w:pPr>
            <w:bookmarkStart w:id="189" w:name="_Toc30822"/>
            <w:bookmarkStart w:id="190" w:name="_Toc5079"/>
            <w:bookmarkStart w:id="191" w:name="_Toc303"/>
            <w:bookmarkStart w:id="192" w:name="_Toc20177"/>
            <w:bookmarkStart w:id="193" w:name="_Toc10163"/>
            <w:bookmarkStart w:id="194" w:name="_Toc9603"/>
            <w:bookmarkStart w:id="195" w:name="_Toc3448_WPSOffice_Level1"/>
            <w:bookmarkStart w:id="196" w:name="_Toc24993"/>
            <w:r>
              <w:rPr>
                <w:rFonts w:hint="eastAsia"/>
                <w:kern w:val="2"/>
                <w:sz w:val="21"/>
                <w:szCs w:val="21"/>
                <w:lang w:val="en-US" w:bidi="ar-SA"/>
              </w:rPr>
              <w:t>价格评审</w:t>
            </w:r>
          </w:p>
          <w:p>
            <w:pPr>
              <w:tabs>
                <w:tab w:val="left" w:pos="972"/>
              </w:tabs>
              <w:spacing w:line="360" w:lineRule="auto"/>
              <w:rPr>
                <w:kern w:val="2"/>
                <w:sz w:val="21"/>
                <w:szCs w:val="21"/>
                <w:lang w:val="en-US" w:bidi="ar-SA"/>
              </w:rPr>
            </w:pPr>
            <w:r>
              <w:rPr>
                <w:kern w:val="2"/>
                <w:sz w:val="21"/>
                <w:szCs w:val="21"/>
                <w:lang w:val="en-US" w:bidi="ar-SA"/>
              </w:rPr>
              <w:t>(30分)</w:t>
            </w:r>
          </w:p>
        </w:tc>
        <w:tc>
          <w:tcPr>
            <w:tcW w:w="8329" w:type="dxa"/>
            <w:vAlign w:val="center"/>
          </w:tcPr>
          <w:p>
            <w:pPr>
              <w:tabs>
                <w:tab w:val="left" w:pos="972"/>
              </w:tabs>
              <w:spacing w:line="360" w:lineRule="auto"/>
              <w:ind w:firstLine="420" w:firstLineChars="200"/>
              <w:rPr>
                <w:kern w:val="2"/>
                <w:sz w:val="21"/>
                <w:szCs w:val="21"/>
                <w:lang w:val="en-US" w:bidi="ar-SA"/>
              </w:rPr>
            </w:pPr>
            <w:r>
              <w:rPr>
                <w:rFonts w:hint="eastAsia"/>
                <w:kern w:val="2"/>
                <w:sz w:val="21"/>
                <w:szCs w:val="21"/>
                <w:lang w:val="en-US" w:bidi="ar-SA"/>
              </w:rPr>
              <w:t>满足</w:t>
            </w:r>
            <w:r>
              <w:rPr>
                <w:rFonts w:hint="eastAsia"/>
                <w:kern w:val="2"/>
                <w:sz w:val="21"/>
                <w:szCs w:val="21"/>
                <w:lang w:val="en-US"/>
              </w:rPr>
              <w:t>磋商</w:t>
            </w:r>
            <w:r>
              <w:rPr>
                <w:rFonts w:hint="eastAsia"/>
                <w:kern w:val="2"/>
                <w:sz w:val="21"/>
                <w:szCs w:val="21"/>
                <w:lang w:val="en-US" w:bidi="ar-SA"/>
              </w:rPr>
              <w:t>文件要求（通过资格性审查和符合性审查）且报价最低的报价</w:t>
            </w:r>
            <w:r>
              <w:rPr>
                <w:kern w:val="2"/>
                <w:sz w:val="21"/>
                <w:szCs w:val="21"/>
                <w:lang w:val="en-US" w:bidi="ar-SA"/>
              </w:rPr>
              <w:t>(指价格扣除后报价)为磋商基准价，其价格分为满分。其他供应商的价格分统一按照下列公式计算：</w:t>
            </w:r>
          </w:p>
          <w:p>
            <w:pPr>
              <w:tabs>
                <w:tab w:val="left" w:pos="972"/>
              </w:tabs>
              <w:spacing w:line="360" w:lineRule="auto"/>
              <w:ind w:firstLine="420" w:firstLineChars="200"/>
              <w:rPr>
                <w:kern w:val="2"/>
                <w:sz w:val="21"/>
                <w:szCs w:val="21"/>
                <w:lang w:val="en-US" w:bidi="ar-SA"/>
              </w:rPr>
            </w:pPr>
            <w:r>
              <w:rPr>
                <w:rFonts w:hint="eastAsia"/>
                <w:kern w:val="2"/>
                <w:sz w:val="21"/>
                <w:szCs w:val="21"/>
                <w:lang w:val="en-US" w:bidi="ar-SA"/>
              </w:rPr>
              <w:t>磋商价格得分</w:t>
            </w:r>
            <w:r>
              <w:rPr>
                <w:kern w:val="2"/>
                <w:sz w:val="21"/>
                <w:szCs w:val="21"/>
                <w:lang w:val="en-US" w:bidi="ar-SA"/>
              </w:rPr>
              <w:t>=（磋商基准价/最后磋商报价）×价格权重（30%）×100</w:t>
            </w:r>
          </w:p>
        </w:tc>
      </w:tr>
    </w:tbl>
    <w:p>
      <w:pPr>
        <w:spacing w:after="60"/>
        <w:jc w:val="center"/>
        <w:rPr>
          <w:sz w:val="52"/>
          <w:szCs w:val="52"/>
        </w:rPr>
      </w:pPr>
    </w:p>
    <w:p>
      <w:pPr>
        <w:pStyle w:val="12"/>
        <w:rPr>
          <w:sz w:val="52"/>
          <w:szCs w:val="52"/>
        </w:rPr>
      </w:pPr>
    </w:p>
    <w:p>
      <w:pPr>
        <w:pStyle w:val="12"/>
        <w:rPr>
          <w:sz w:val="52"/>
          <w:szCs w:val="52"/>
        </w:rPr>
      </w:pPr>
    </w:p>
    <w:p>
      <w:pPr>
        <w:pStyle w:val="12"/>
        <w:rPr>
          <w:sz w:val="52"/>
          <w:szCs w:val="52"/>
        </w:rPr>
      </w:pPr>
    </w:p>
    <w:p>
      <w:pPr>
        <w:pStyle w:val="3"/>
        <w:spacing w:after="60"/>
        <w:ind w:left="0" w:firstLine="0"/>
        <w:jc w:val="both"/>
        <w:rPr>
          <w:bCs w:val="0"/>
          <w:sz w:val="52"/>
          <w:szCs w:val="52"/>
        </w:rPr>
      </w:pPr>
      <w:bookmarkStart w:id="197" w:name="_Toc18724"/>
      <w:bookmarkStart w:id="198" w:name="_Toc28289"/>
    </w:p>
    <w:p>
      <w:pPr>
        <w:pStyle w:val="3"/>
        <w:spacing w:after="60"/>
        <w:ind w:left="0" w:firstLine="0"/>
        <w:jc w:val="center"/>
        <w:rPr>
          <w:bCs w:val="0"/>
          <w:sz w:val="42"/>
        </w:rPr>
      </w:pPr>
      <w:bookmarkStart w:id="199" w:name="_Toc13640"/>
      <w:r>
        <w:rPr>
          <w:rFonts w:hint="eastAsia"/>
          <w:bCs w:val="0"/>
          <w:sz w:val="52"/>
          <w:szCs w:val="52"/>
        </w:rPr>
        <w:t>第四部分　合同书格式</w:t>
      </w:r>
      <w:bookmarkEnd w:id="189"/>
      <w:bookmarkEnd w:id="190"/>
      <w:bookmarkEnd w:id="191"/>
      <w:bookmarkEnd w:id="192"/>
      <w:bookmarkEnd w:id="193"/>
      <w:bookmarkEnd w:id="194"/>
      <w:bookmarkEnd w:id="195"/>
      <w:bookmarkEnd w:id="196"/>
      <w:bookmarkEnd w:id="197"/>
      <w:bookmarkEnd w:id="198"/>
      <w:bookmarkEnd w:id="199"/>
    </w:p>
    <w:p>
      <w:pPr>
        <w:pStyle w:val="12"/>
        <w:rPr>
          <w:b/>
          <w:szCs w:val="21"/>
        </w:rPr>
      </w:pPr>
    </w:p>
    <w:p>
      <w:pPr>
        <w:spacing w:after="60" w:line="360" w:lineRule="auto"/>
        <w:jc w:val="center"/>
        <w:rPr>
          <w:b/>
          <w:szCs w:val="21"/>
        </w:rPr>
      </w:pPr>
      <w:r>
        <w:rPr>
          <w:rFonts w:hint="eastAsia"/>
          <w:b/>
          <w:szCs w:val="21"/>
        </w:rPr>
        <w:t>注：本合同仅为合同的参考文本，合同签订双方可根据项目的具体要求进行修订。</w:t>
      </w:r>
    </w:p>
    <w:p>
      <w:pPr>
        <w:pStyle w:val="8"/>
      </w:pPr>
      <w:r>
        <w:br w:type="page"/>
      </w:r>
    </w:p>
    <w:p>
      <w:pPr>
        <w:pStyle w:val="8"/>
      </w:pPr>
    </w:p>
    <w:p>
      <w:pPr>
        <w:rPr>
          <w:bCs/>
          <w:sz w:val="32"/>
          <w:szCs w:val="32"/>
        </w:rPr>
      </w:pPr>
      <w:bookmarkStart w:id="200" w:name="_Toc32010"/>
      <w:bookmarkStart w:id="201" w:name="_Toc23714_WPSOffice_Level1"/>
      <w:bookmarkStart w:id="202" w:name="_Toc22325"/>
      <w:bookmarkStart w:id="203" w:name="_Toc26428"/>
      <w:bookmarkStart w:id="204" w:name="_Toc13889"/>
      <w:bookmarkStart w:id="205" w:name="_Toc10704"/>
      <w:r>
        <w:rPr>
          <w:rFonts w:hint="eastAsia"/>
          <w:bCs/>
          <w:sz w:val="32"/>
          <w:szCs w:val="32"/>
        </w:rPr>
        <w:t>（</w:t>
      </w:r>
      <w:r>
        <w:rPr>
          <w:bCs/>
          <w:sz w:val="32"/>
          <w:szCs w:val="32"/>
        </w:rPr>
        <w:t>GF—2017—0201）</w:t>
      </w:r>
    </w:p>
    <w:p>
      <w:pPr>
        <w:rPr>
          <w:bCs/>
          <w:sz w:val="32"/>
          <w:szCs w:val="32"/>
        </w:rPr>
      </w:pPr>
    </w:p>
    <w:p>
      <w:pPr>
        <w:pStyle w:val="11"/>
        <w:rPr>
          <w:rFonts w:hAnsi="宋体"/>
        </w:rPr>
      </w:pPr>
    </w:p>
    <w:p/>
    <w:p>
      <w:pPr>
        <w:pStyle w:val="2"/>
        <w:ind w:firstLine="440"/>
      </w:pPr>
    </w:p>
    <w:p/>
    <w:p/>
    <w:p>
      <w:pPr>
        <w:rPr>
          <w:bCs/>
          <w:sz w:val="32"/>
          <w:szCs w:val="32"/>
        </w:rPr>
      </w:pPr>
    </w:p>
    <w:p>
      <w:pPr>
        <w:jc w:val="center"/>
        <w:rPr>
          <w:b/>
          <w:sz w:val="52"/>
          <w:szCs w:val="52"/>
        </w:rPr>
      </w:pPr>
      <w:r>
        <w:rPr>
          <w:rFonts w:hint="eastAsia"/>
          <w:b/>
          <w:sz w:val="72"/>
          <w:szCs w:val="52"/>
        </w:rPr>
        <w:t>建设工程施工合同</w:t>
      </w:r>
    </w:p>
    <w:p>
      <w:pPr>
        <w:pStyle w:val="8"/>
      </w:pPr>
    </w:p>
    <w:p>
      <w:pPr>
        <w:rPr>
          <w:b/>
          <w:sz w:val="32"/>
          <w:szCs w:val="32"/>
        </w:rPr>
      </w:pPr>
    </w:p>
    <w:p>
      <w:pPr>
        <w:pStyle w:val="2"/>
        <w:ind w:firstLine="643"/>
        <w:rPr>
          <w:b/>
          <w:sz w:val="32"/>
          <w:szCs w:val="32"/>
        </w:rPr>
      </w:pPr>
    </w:p>
    <w:p/>
    <w:p/>
    <w:p>
      <w:pPr>
        <w:pStyle w:val="2"/>
        <w:ind w:firstLine="440"/>
      </w:pPr>
    </w:p>
    <w:p>
      <w:pPr>
        <w:rPr>
          <w:b/>
          <w:sz w:val="32"/>
          <w:szCs w:val="32"/>
        </w:rPr>
      </w:pPr>
    </w:p>
    <w:p>
      <w:pPr>
        <w:adjustRightInd w:val="0"/>
        <w:snapToGrid w:val="0"/>
        <w:spacing w:line="360" w:lineRule="auto"/>
        <w:outlineLvl w:val="1"/>
        <w:rPr>
          <w:b/>
          <w:sz w:val="32"/>
          <w:szCs w:val="32"/>
          <w:u w:val="single"/>
        </w:rPr>
      </w:pPr>
      <w:bookmarkStart w:id="206" w:name="_Toc31827"/>
      <w:r>
        <w:rPr>
          <w:rFonts w:hint="eastAsia"/>
          <w:b/>
          <w:sz w:val="32"/>
          <w:szCs w:val="32"/>
        </w:rPr>
        <w:t>发</w:t>
      </w:r>
      <w:r>
        <w:rPr>
          <w:b/>
          <w:sz w:val="32"/>
          <w:szCs w:val="32"/>
        </w:rPr>
        <w:t xml:space="preserve">  </w:t>
      </w:r>
      <w:r>
        <w:rPr>
          <w:rFonts w:hint="eastAsia"/>
          <w:b/>
          <w:sz w:val="32"/>
          <w:szCs w:val="32"/>
        </w:rPr>
        <w:t>包</w:t>
      </w:r>
      <w:r>
        <w:rPr>
          <w:b/>
          <w:sz w:val="32"/>
          <w:szCs w:val="32"/>
        </w:rPr>
        <w:t xml:space="preserve">  </w:t>
      </w:r>
      <w:r>
        <w:rPr>
          <w:rFonts w:hint="eastAsia"/>
          <w:b/>
          <w:sz w:val="32"/>
          <w:szCs w:val="32"/>
        </w:rPr>
        <w:t>人（全称）：</w:t>
      </w:r>
      <w:r>
        <w:rPr>
          <w:rFonts w:hint="eastAsia"/>
          <w:sz w:val="32"/>
          <w:szCs w:val="32"/>
          <w:u w:val="single"/>
        </w:rPr>
        <w:t>佛山市三水海江怡乐建设投资有限公司</w:t>
      </w:r>
      <w:bookmarkEnd w:id="206"/>
    </w:p>
    <w:p>
      <w:pPr>
        <w:pStyle w:val="27"/>
        <w:adjustRightInd w:val="0"/>
        <w:snapToGrid w:val="0"/>
        <w:spacing w:line="360" w:lineRule="auto"/>
        <w:rPr>
          <w:rFonts w:ascii="宋体" w:hAnsi="宋体" w:cs="宋体"/>
          <w:b/>
          <w:sz w:val="32"/>
          <w:szCs w:val="32"/>
        </w:rPr>
      </w:pPr>
      <w:r>
        <w:rPr>
          <w:rFonts w:hint="eastAsia" w:ascii="宋体" w:hAnsi="宋体" w:cs="宋体"/>
          <w:b/>
          <w:sz w:val="32"/>
          <w:szCs w:val="32"/>
        </w:rPr>
        <w:t>承</w:t>
      </w:r>
      <w:r>
        <w:rPr>
          <w:rFonts w:ascii="宋体" w:hAnsi="宋体" w:cs="宋体"/>
          <w:b/>
          <w:sz w:val="32"/>
          <w:szCs w:val="32"/>
        </w:rPr>
        <w:t xml:space="preserve">  </w:t>
      </w:r>
      <w:r>
        <w:rPr>
          <w:rFonts w:hint="eastAsia" w:ascii="宋体" w:hAnsi="宋体" w:cs="宋体"/>
          <w:b/>
          <w:sz w:val="32"/>
          <w:szCs w:val="32"/>
        </w:rPr>
        <w:t>包</w:t>
      </w:r>
      <w:r>
        <w:rPr>
          <w:rFonts w:ascii="宋体" w:hAnsi="宋体" w:cs="宋体"/>
          <w:b/>
          <w:sz w:val="32"/>
          <w:szCs w:val="32"/>
        </w:rPr>
        <w:t xml:space="preserve">  </w:t>
      </w:r>
      <w:r>
        <w:rPr>
          <w:rFonts w:hint="eastAsia" w:ascii="宋体" w:hAnsi="宋体" w:cs="宋体"/>
          <w:b/>
          <w:sz w:val="32"/>
          <w:szCs w:val="32"/>
        </w:rPr>
        <w:t>人（全称）：</w:t>
      </w:r>
    </w:p>
    <w:p>
      <w:pPr>
        <w:pStyle w:val="27"/>
        <w:adjustRightInd w:val="0"/>
        <w:snapToGrid w:val="0"/>
        <w:spacing w:line="360" w:lineRule="auto"/>
        <w:rPr>
          <w:rFonts w:ascii="宋体" w:hAnsi="宋体" w:cs="宋体"/>
          <w:b/>
          <w:sz w:val="32"/>
          <w:szCs w:val="32"/>
        </w:rPr>
      </w:pPr>
      <w:r>
        <w:rPr>
          <w:rFonts w:hint="eastAsia" w:ascii="宋体" w:hAnsi="宋体" w:cs="宋体"/>
          <w:b/>
          <w:sz w:val="32"/>
          <w:szCs w:val="32"/>
        </w:rPr>
        <w:t>工程名称：</w:t>
      </w:r>
      <w:r>
        <w:rPr>
          <w:rFonts w:hint="eastAsia" w:ascii="宋体" w:hAnsi="宋体" w:cs="宋体"/>
          <w:sz w:val="32"/>
          <w:szCs w:val="32"/>
          <w:u w:val="single"/>
        </w:rPr>
        <w:t>乐平镇工业园区三丫涌桥工程</w:t>
      </w:r>
    </w:p>
    <w:p>
      <w:pPr>
        <w:pStyle w:val="27"/>
        <w:adjustRightInd w:val="0"/>
        <w:snapToGrid w:val="0"/>
        <w:spacing w:line="360" w:lineRule="auto"/>
        <w:rPr>
          <w:rFonts w:ascii="宋体" w:hAnsi="宋体" w:cs="宋体"/>
          <w:b/>
          <w:sz w:val="32"/>
          <w:szCs w:val="32"/>
        </w:rPr>
      </w:pPr>
      <w:r>
        <w:rPr>
          <w:rFonts w:hint="eastAsia" w:ascii="宋体" w:hAnsi="宋体" w:cs="宋体"/>
          <w:b/>
          <w:sz w:val="32"/>
          <w:szCs w:val="32"/>
        </w:rPr>
        <w:t>工程地点：</w:t>
      </w:r>
      <w:r>
        <w:rPr>
          <w:rFonts w:hint="eastAsia" w:ascii="宋体" w:hAnsi="宋体" w:cs="宋体"/>
          <w:bCs/>
          <w:sz w:val="32"/>
          <w:szCs w:val="32"/>
          <w:u w:val="single"/>
        </w:rPr>
        <w:t>佛山市三水区乐平镇</w:t>
      </w:r>
    </w:p>
    <w:p>
      <w:pPr>
        <w:pStyle w:val="27"/>
        <w:adjustRightInd w:val="0"/>
        <w:snapToGrid w:val="0"/>
        <w:spacing w:line="360" w:lineRule="auto"/>
        <w:ind w:firstLine="964" w:firstLineChars="300"/>
        <w:rPr>
          <w:rFonts w:ascii="宋体" w:hAnsi="宋体" w:cs="宋体"/>
          <w:b/>
          <w:sz w:val="32"/>
          <w:szCs w:val="32"/>
        </w:rPr>
      </w:pPr>
    </w:p>
    <w:p>
      <w:pPr>
        <w:pStyle w:val="33"/>
        <w:ind w:firstLine="200"/>
      </w:pPr>
    </w:p>
    <w:p>
      <w:pPr>
        <w:pStyle w:val="33"/>
        <w:ind w:firstLine="200"/>
      </w:pPr>
    </w:p>
    <w:p>
      <w:pPr>
        <w:pStyle w:val="33"/>
        <w:ind w:firstLine="200"/>
      </w:pPr>
    </w:p>
    <w:p>
      <w:pPr>
        <w:pStyle w:val="27"/>
        <w:adjustRightInd w:val="0"/>
        <w:snapToGrid w:val="0"/>
        <w:spacing w:line="360" w:lineRule="auto"/>
        <w:jc w:val="center"/>
        <w:rPr>
          <w:rFonts w:ascii="宋体" w:hAnsi="宋体" w:cs="宋体"/>
          <w:b/>
          <w:sz w:val="28"/>
          <w:szCs w:val="28"/>
        </w:rPr>
      </w:pPr>
      <w:r>
        <w:rPr>
          <w:rFonts w:hint="eastAsia" w:ascii="宋体" w:hAnsi="宋体" w:cs="宋体"/>
          <w:b/>
          <w:sz w:val="32"/>
          <w:szCs w:val="32"/>
        </w:rPr>
        <w:t>签订时间：</w:t>
      </w:r>
      <w:r>
        <w:rPr>
          <w:rFonts w:ascii="宋体" w:hAnsi="宋体" w:cs="宋体"/>
          <w:b/>
          <w:sz w:val="32"/>
          <w:szCs w:val="32"/>
        </w:rPr>
        <w:t xml:space="preserve">2024年   </w:t>
      </w:r>
      <w:r>
        <w:rPr>
          <w:rFonts w:hint="eastAsia" w:ascii="宋体" w:hAnsi="宋体" w:cs="宋体"/>
          <w:b/>
          <w:sz w:val="32"/>
          <w:szCs w:val="32"/>
        </w:rPr>
        <w:t>月</w:t>
      </w:r>
      <w:r>
        <w:rPr>
          <w:rFonts w:ascii="宋体" w:hAnsi="宋体" w:cs="宋体"/>
          <w:b/>
          <w:sz w:val="32"/>
          <w:szCs w:val="32"/>
        </w:rPr>
        <w:t xml:space="preserve">  </w:t>
      </w:r>
      <w:r>
        <w:rPr>
          <w:rFonts w:hint="eastAsia" w:ascii="宋体" w:hAnsi="宋体" w:cs="宋体"/>
          <w:b/>
          <w:sz w:val="32"/>
          <w:szCs w:val="32"/>
        </w:rPr>
        <w:t>日</w:t>
      </w:r>
    </w:p>
    <w:p>
      <w:pPr>
        <w:pStyle w:val="9"/>
        <w:rPr>
          <w:rFonts w:ascii="宋体" w:hAnsi="宋体" w:cs="宋体"/>
          <w:b/>
          <w:sz w:val="28"/>
          <w:szCs w:val="28"/>
        </w:rPr>
      </w:pPr>
    </w:p>
    <w:p>
      <w:pPr>
        <w:ind w:right="2849" w:rightChars="1295" w:firstLine="4189" w:firstLineChars="1304"/>
        <w:rPr>
          <w:b/>
          <w:sz w:val="32"/>
          <w:szCs w:val="28"/>
        </w:rPr>
      </w:pPr>
    </w:p>
    <w:p>
      <w:pPr>
        <w:ind w:right="2849" w:rightChars="1295" w:firstLine="2868" w:firstLineChars="1304"/>
        <w:rPr>
          <w:b/>
          <w:sz w:val="32"/>
          <w:szCs w:val="28"/>
        </w:rPr>
      </w:pPr>
      <w:r>
        <w:rPr>
          <w:lang w:val="en-US" w:bidi="ar-SA"/>
        </w:rPr>
        <mc:AlternateContent>
          <mc:Choice Requires="wps">
            <w:drawing>
              <wp:anchor distT="0" distB="0" distL="114300" distR="114300" simplePos="0" relativeHeight="251671552" behindDoc="0" locked="0" layoutInCell="1" allowOverlap="1">
                <wp:simplePos x="0" y="0"/>
                <wp:positionH relativeFrom="column">
                  <wp:posOffset>3970020</wp:posOffset>
                </wp:positionH>
                <wp:positionV relativeFrom="paragraph">
                  <wp:posOffset>120015</wp:posOffset>
                </wp:positionV>
                <wp:extent cx="723900" cy="457200"/>
                <wp:effectExtent l="4445" t="4445" r="18415" b="10795"/>
                <wp:wrapNone/>
                <wp:docPr id="5" name="文本框 5"/>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a:effectLst/>
                      </wps:spPr>
                      <wps:txbx>
                        <w:txbxContent>
                          <w:p>
                            <w:pPr>
                              <w:rPr>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71552;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BzS1x2AAAAAkBAAAPAAAAAAAAAAEAIAAAACIA&#10;AABkcnMvZG93bnJldi54bWxQSwECFAAUAAAACACHTuJA3O9MWAkCAAAaBAAADgAAAAAAAAABACAA&#10;AAAnAQAAZHJzL2Uyb0RvYy54bWxQSwUGAAAAAAYABgBZAQAAogUAAAAA&#10;">
                <v:fill on="f" focussize="0,0"/>
                <v:stroke color="#FFFFFF" joinstyle="miter"/>
                <v:imagedata o:title=""/>
                <o:lock v:ext="edit" aspectratio="f"/>
                <v:textbox>
                  <w:txbxContent>
                    <w:p>
                      <w:pPr>
                        <w:rPr>
                          <w:b/>
                          <w:bCs/>
                          <w:sz w:val="32"/>
                        </w:rPr>
                      </w:pPr>
                      <w:r>
                        <w:rPr>
                          <w:rFonts w:hint="eastAsia"/>
                          <w:b/>
                          <w:bCs/>
                          <w:sz w:val="32"/>
                        </w:rPr>
                        <w:t>制定</w:t>
                      </w:r>
                    </w:p>
                  </w:txbxContent>
                </v:textbox>
              </v:shape>
            </w:pict>
          </mc:Fallback>
        </mc:AlternateContent>
      </w:r>
      <w:r>
        <w:rPr>
          <w:rFonts w:hint="eastAsia"/>
          <w:b/>
          <w:sz w:val="32"/>
          <w:szCs w:val="28"/>
        </w:rPr>
        <w:t>住房和城乡建设部</w:t>
      </w:r>
    </w:p>
    <w:p>
      <w:pPr>
        <w:ind w:right="2849" w:rightChars="1295"/>
        <w:jc w:val="center"/>
        <w:rPr>
          <w:b/>
          <w:bCs/>
          <w:sz w:val="32"/>
          <w:szCs w:val="32"/>
        </w:rPr>
      </w:pPr>
      <w:r>
        <w:rPr>
          <w:b/>
          <w:sz w:val="32"/>
          <w:szCs w:val="28"/>
        </w:rPr>
        <w:t xml:space="preserve">           国家工商行政管理总局</w:t>
      </w:r>
      <w:r>
        <w:rPr>
          <w:b/>
          <w:bCs/>
          <w:sz w:val="32"/>
          <w:szCs w:val="32"/>
        </w:rPr>
        <w:br w:type="page"/>
      </w:r>
    </w:p>
    <w:p>
      <w:pPr>
        <w:pStyle w:val="28"/>
        <w:spacing w:line="324" w:lineRule="auto"/>
        <w:jc w:val="center"/>
        <w:outlineLvl w:val="0"/>
        <w:rPr>
          <w:rFonts w:ascii="宋体" w:hAnsi="宋体" w:eastAsia="宋体"/>
        </w:rPr>
      </w:pPr>
      <w:bookmarkStart w:id="207" w:name="_Toc86334489"/>
      <w:bookmarkStart w:id="208" w:name="_Toc12670"/>
      <w:bookmarkStart w:id="209" w:name="_Toc101169592"/>
      <w:bookmarkStart w:id="210" w:name="_Toc135068259"/>
      <w:bookmarkStart w:id="211" w:name="_Toc117175048"/>
      <w:bookmarkStart w:id="212" w:name="_Toc107933208"/>
      <w:bookmarkStart w:id="213" w:name="_Toc135399428"/>
      <w:r>
        <w:rPr>
          <w:rFonts w:hint="eastAsia" w:ascii="宋体" w:hAnsi="宋体" w:eastAsia="宋体"/>
          <w:b/>
          <w:bCs/>
          <w:sz w:val="32"/>
          <w:szCs w:val="32"/>
        </w:rPr>
        <w:t>第一部分</w:t>
      </w:r>
      <w:r>
        <w:rPr>
          <w:rFonts w:ascii="宋体" w:hAnsi="宋体" w:eastAsia="宋体"/>
          <w:b/>
          <w:bCs/>
          <w:sz w:val="32"/>
          <w:szCs w:val="32"/>
        </w:rPr>
        <w:t xml:space="preserve"> </w:t>
      </w:r>
      <w:r>
        <w:rPr>
          <w:rFonts w:hint="eastAsia" w:ascii="宋体" w:hAnsi="宋体" w:eastAsia="宋体"/>
          <w:b/>
          <w:bCs/>
          <w:sz w:val="32"/>
          <w:szCs w:val="32"/>
        </w:rPr>
        <w:t>合同协议书</w:t>
      </w:r>
      <w:bookmarkEnd w:id="207"/>
      <w:bookmarkEnd w:id="208"/>
      <w:bookmarkEnd w:id="209"/>
      <w:bookmarkEnd w:id="210"/>
      <w:bookmarkEnd w:id="211"/>
      <w:bookmarkEnd w:id="212"/>
      <w:bookmarkEnd w:id="213"/>
    </w:p>
    <w:p>
      <w:pPr>
        <w:pStyle w:val="28"/>
        <w:spacing w:line="324" w:lineRule="auto"/>
        <w:rPr>
          <w:rFonts w:ascii="宋体" w:hAnsi="宋体" w:eastAsia="宋体"/>
          <w:b/>
          <w:sz w:val="24"/>
        </w:rPr>
      </w:pPr>
    </w:p>
    <w:p>
      <w:pPr>
        <w:pStyle w:val="28"/>
        <w:spacing w:line="324" w:lineRule="auto"/>
        <w:rPr>
          <w:rFonts w:ascii="宋体" w:hAnsi="宋体" w:eastAsia="宋体"/>
          <w:bCs/>
          <w:sz w:val="24"/>
        </w:rPr>
      </w:pPr>
      <w:r>
        <w:rPr>
          <w:rFonts w:hint="eastAsia" w:ascii="宋体" w:hAnsi="宋体" w:eastAsia="宋体"/>
          <w:bCs/>
          <w:sz w:val="24"/>
        </w:rPr>
        <w:t>发包人（全称）：</w:t>
      </w:r>
      <w:r>
        <w:rPr>
          <w:rFonts w:hint="eastAsia" w:ascii="宋体" w:hAnsi="宋体" w:eastAsia="宋体"/>
          <w:bCs/>
          <w:sz w:val="24"/>
          <w:u w:val="single"/>
        </w:rPr>
        <w:t>佛山市三水海江怡乐建设投资有限公司</w:t>
      </w:r>
    </w:p>
    <w:p>
      <w:pPr>
        <w:pStyle w:val="28"/>
        <w:spacing w:line="324" w:lineRule="auto"/>
        <w:rPr>
          <w:rFonts w:ascii="宋体" w:hAnsi="宋体" w:eastAsia="宋体"/>
          <w:bCs/>
          <w:sz w:val="24"/>
          <w:u w:val="single"/>
        </w:rPr>
      </w:pPr>
      <w:r>
        <w:rPr>
          <w:rFonts w:hint="eastAsia" w:ascii="宋体" w:hAnsi="宋体" w:eastAsia="宋体"/>
          <w:bCs/>
          <w:sz w:val="24"/>
        </w:rPr>
        <w:t>承包人（全称）：</w:t>
      </w:r>
      <w:r>
        <w:rPr>
          <w:rFonts w:ascii="宋体" w:hAnsi="宋体" w:eastAsia="宋体"/>
          <w:bCs/>
          <w:sz w:val="24"/>
        </w:rPr>
        <w:t xml:space="preserve"> </w:t>
      </w:r>
      <w:r>
        <w:rPr>
          <w:rFonts w:ascii="宋体" w:hAnsi="宋体" w:eastAsia="宋体"/>
          <w:bCs/>
          <w:sz w:val="24"/>
          <w:u w:val="single"/>
        </w:rPr>
        <w:t xml:space="preserve">                                 </w:t>
      </w:r>
      <w:r>
        <w:rPr>
          <w:rFonts w:ascii="宋体" w:hAnsi="宋体" w:eastAsia="宋体"/>
          <w:bCs/>
          <w:sz w:val="24"/>
        </w:rPr>
        <w:t xml:space="preserve">    </w:t>
      </w:r>
    </w:p>
    <w:p>
      <w:pPr>
        <w:pStyle w:val="28"/>
        <w:spacing w:line="324" w:lineRule="auto"/>
        <w:ind w:firstLine="480" w:firstLineChars="200"/>
        <w:rPr>
          <w:rFonts w:ascii="宋体" w:hAnsi="宋体" w:eastAsia="宋体"/>
          <w:bCs/>
          <w:sz w:val="24"/>
        </w:rPr>
      </w:pPr>
      <w:r>
        <w:rPr>
          <w:rFonts w:hint="eastAsia" w:ascii="宋体" w:hAnsi="宋体" w:eastAsia="宋体"/>
          <w:bCs/>
          <w:sz w:val="24"/>
        </w:rPr>
        <w:t>根据《中华人民共和国民法典》、《中华人民共和国建筑法》及有关法律规定，遵循平等、自愿、公平和诚实信用的原则，双方就</w:t>
      </w:r>
      <w:r>
        <w:rPr>
          <w:rFonts w:hint="eastAsia" w:ascii="宋体" w:hAnsi="宋体" w:eastAsia="宋体"/>
          <w:kern w:val="0"/>
          <w:sz w:val="24"/>
          <w:u w:val="single"/>
        </w:rPr>
        <w:t>乐平镇工业园区三丫涌桥工程</w:t>
      </w:r>
      <w:r>
        <w:rPr>
          <w:rFonts w:hint="eastAsia" w:ascii="宋体" w:hAnsi="宋体" w:eastAsia="宋体"/>
          <w:bCs/>
          <w:sz w:val="24"/>
        </w:rPr>
        <w:t>施工及有关事项协商一致，共同达成如下协议：</w:t>
      </w:r>
    </w:p>
    <w:p>
      <w:pPr>
        <w:pStyle w:val="28"/>
        <w:spacing w:line="324" w:lineRule="auto"/>
        <w:outlineLvl w:val="1"/>
        <w:rPr>
          <w:rFonts w:ascii="宋体" w:hAnsi="宋体" w:eastAsia="宋体"/>
          <w:bCs/>
          <w:sz w:val="24"/>
        </w:rPr>
      </w:pPr>
      <w:r>
        <w:rPr>
          <w:rFonts w:ascii="宋体" w:hAnsi="宋体" w:eastAsia="宋体"/>
          <w:bCs/>
          <w:sz w:val="24"/>
        </w:rPr>
        <w:t xml:space="preserve">    </w:t>
      </w:r>
      <w:bookmarkStart w:id="214" w:name="_Toc11658"/>
      <w:r>
        <w:rPr>
          <w:rFonts w:hint="eastAsia" w:ascii="宋体" w:hAnsi="宋体" w:eastAsia="宋体"/>
          <w:bCs/>
          <w:sz w:val="24"/>
        </w:rPr>
        <w:t>一、工程概况</w:t>
      </w:r>
      <w:bookmarkEnd w:id="214"/>
    </w:p>
    <w:p>
      <w:pPr>
        <w:pStyle w:val="28"/>
        <w:spacing w:line="324" w:lineRule="auto"/>
        <w:ind w:firstLine="480" w:firstLineChars="200"/>
        <w:rPr>
          <w:rFonts w:ascii="宋体" w:hAnsi="宋体" w:eastAsia="宋体"/>
          <w:bCs/>
          <w:sz w:val="24"/>
        </w:rPr>
      </w:pPr>
      <w:r>
        <w:rPr>
          <w:rFonts w:ascii="宋体" w:hAnsi="宋体" w:eastAsia="宋体"/>
          <w:bCs/>
          <w:sz w:val="24"/>
        </w:rPr>
        <w:t>1.工程名称：</w:t>
      </w:r>
      <w:r>
        <w:rPr>
          <w:rFonts w:hint="eastAsia" w:ascii="宋体" w:hAnsi="宋体" w:eastAsia="宋体"/>
          <w:kern w:val="0"/>
          <w:sz w:val="24"/>
          <w:u w:val="single"/>
        </w:rPr>
        <w:t>乐平镇工业园区三丫涌桥工程</w:t>
      </w:r>
      <w:r>
        <w:rPr>
          <w:rFonts w:hint="eastAsia" w:ascii="宋体" w:hAnsi="宋体" w:eastAsia="宋体"/>
          <w:bCs/>
          <w:sz w:val="24"/>
          <w:u w:val="single"/>
        </w:rPr>
        <w:t>。</w:t>
      </w:r>
    </w:p>
    <w:p>
      <w:pPr>
        <w:pStyle w:val="28"/>
        <w:spacing w:line="324" w:lineRule="auto"/>
        <w:ind w:firstLine="480" w:firstLineChars="200"/>
        <w:rPr>
          <w:rFonts w:ascii="宋体" w:hAnsi="宋体" w:eastAsia="宋体"/>
          <w:bCs/>
          <w:sz w:val="24"/>
        </w:rPr>
      </w:pPr>
      <w:r>
        <w:rPr>
          <w:rFonts w:ascii="宋体" w:hAnsi="宋体" w:eastAsia="宋体"/>
          <w:bCs/>
          <w:sz w:val="24"/>
        </w:rPr>
        <w:t>2.工程地点：</w:t>
      </w:r>
      <w:r>
        <w:rPr>
          <w:rFonts w:hint="eastAsia" w:ascii="宋体" w:hAnsi="宋体" w:eastAsia="宋体"/>
          <w:bCs/>
          <w:sz w:val="24"/>
          <w:u w:val="single"/>
        </w:rPr>
        <w:t>佛山市三水区乐平镇</w:t>
      </w:r>
      <w:r>
        <w:rPr>
          <w:rFonts w:hint="eastAsia" w:ascii="宋体" w:hAnsi="宋体" w:eastAsia="宋体"/>
          <w:bCs/>
          <w:sz w:val="24"/>
        </w:rPr>
        <w:t>。</w:t>
      </w:r>
    </w:p>
    <w:p>
      <w:pPr>
        <w:pStyle w:val="28"/>
        <w:spacing w:line="324" w:lineRule="auto"/>
        <w:ind w:firstLine="480" w:firstLineChars="200"/>
        <w:rPr>
          <w:rFonts w:ascii="宋体" w:hAnsi="宋体" w:eastAsia="宋体"/>
          <w:bCs/>
          <w:sz w:val="24"/>
        </w:rPr>
      </w:pPr>
      <w:r>
        <w:rPr>
          <w:rFonts w:ascii="宋体" w:hAnsi="宋体" w:eastAsia="宋体"/>
          <w:bCs/>
          <w:sz w:val="24"/>
        </w:rPr>
        <w:t>3.工程立项批准文号：</w:t>
      </w:r>
      <w:r>
        <w:rPr>
          <w:rFonts w:ascii="宋体" w:hAnsi="宋体" w:eastAsia="宋体"/>
          <w:kern w:val="0"/>
          <w:sz w:val="24"/>
          <w:u w:val="single"/>
        </w:rPr>
        <w:t>/</w:t>
      </w:r>
      <w:r>
        <w:rPr>
          <w:rFonts w:hint="eastAsia" w:ascii="宋体" w:hAnsi="宋体" w:eastAsia="宋体"/>
          <w:bCs/>
          <w:sz w:val="24"/>
        </w:rPr>
        <w:t>。</w:t>
      </w:r>
    </w:p>
    <w:p>
      <w:pPr>
        <w:pStyle w:val="28"/>
        <w:spacing w:line="324" w:lineRule="auto"/>
        <w:ind w:firstLine="480" w:firstLineChars="200"/>
        <w:rPr>
          <w:rFonts w:ascii="宋体" w:hAnsi="宋体" w:eastAsia="宋体"/>
          <w:bCs/>
          <w:sz w:val="24"/>
        </w:rPr>
      </w:pPr>
      <w:r>
        <w:rPr>
          <w:rFonts w:ascii="宋体" w:hAnsi="宋体" w:eastAsia="宋体"/>
          <w:bCs/>
          <w:sz w:val="24"/>
        </w:rPr>
        <w:t>4.资金来源：</w:t>
      </w:r>
      <w:r>
        <w:rPr>
          <w:rFonts w:hint="eastAsia" w:ascii="宋体" w:hAnsi="宋体" w:eastAsia="宋体"/>
          <w:bCs/>
          <w:sz w:val="24"/>
          <w:u w:val="single"/>
        </w:rPr>
        <w:t>财政资金</w:t>
      </w:r>
      <w:r>
        <w:rPr>
          <w:rFonts w:hint="eastAsia" w:ascii="宋体" w:hAnsi="宋体" w:eastAsia="宋体"/>
          <w:bCs/>
          <w:sz w:val="24"/>
        </w:rPr>
        <w:t>。</w:t>
      </w:r>
    </w:p>
    <w:p>
      <w:pPr>
        <w:pStyle w:val="28"/>
        <w:spacing w:line="324" w:lineRule="auto"/>
        <w:ind w:firstLine="480" w:firstLineChars="200"/>
        <w:rPr>
          <w:rFonts w:ascii="宋体" w:hAnsi="宋体" w:eastAsia="宋体"/>
          <w:bCs/>
          <w:kern w:val="0"/>
          <w:sz w:val="24"/>
          <w:u w:val="single"/>
          <w:lang w:val="zh-CN"/>
        </w:rPr>
      </w:pPr>
      <w:r>
        <w:rPr>
          <w:rFonts w:ascii="宋体" w:hAnsi="宋体" w:eastAsia="宋体"/>
          <w:bCs/>
          <w:sz w:val="24"/>
        </w:rPr>
        <w:t>5.工程内容：</w:t>
      </w:r>
      <w:r>
        <w:rPr>
          <w:rFonts w:hint="eastAsia" w:ascii="宋体" w:hAnsi="宋体" w:eastAsia="宋体"/>
          <w:bCs/>
          <w:sz w:val="24"/>
          <w:lang w:bidi="zh-CN"/>
        </w:rPr>
        <w:t>本项目为乐平镇工业园区三丫涌桥工程,位于佛山市三水区乐平镇，桥梁位于海尔工业园南侧，跨三丫涌后连接现状强业大道，中心桩号为K0+068，总跨径为35m，桥梁总宽3.1m，上部结构采用1*35m预应力钢筋混凝土小箱梁采用750吨或以上级的汽车吊装以及相关配套设备，下部采用盖梁接钻孔灌注桩基础，金属栏杆制安；路灯安装、线管铺设等具体内容详见预算书。</w:t>
      </w:r>
    </w:p>
    <w:p>
      <w:pPr>
        <w:pStyle w:val="28"/>
        <w:spacing w:line="324" w:lineRule="auto"/>
        <w:ind w:firstLine="480" w:firstLineChars="200"/>
        <w:rPr>
          <w:rFonts w:ascii="宋体" w:hAnsi="宋体" w:eastAsia="宋体"/>
          <w:bCs/>
          <w:sz w:val="24"/>
        </w:rPr>
      </w:pPr>
      <w:r>
        <w:rPr>
          <w:rFonts w:ascii="宋体" w:hAnsi="宋体" w:eastAsia="宋体"/>
          <w:bCs/>
          <w:sz w:val="24"/>
        </w:rPr>
        <w:t>6.工程承包范围：</w:t>
      </w:r>
    </w:p>
    <w:p>
      <w:pPr>
        <w:pStyle w:val="28"/>
        <w:spacing w:line="324" w:lineRule="auto"/>
        <w:ind w:firstLine="480" w:firstLineChars="200"/>
        <w:rPr>
          <w:rFonts w:ascii="宋体" w:hAnsi="宋体" w:eastAsia="宋体"/>
          <w:bCs/>
          <w:sz w:val="24"/>
        </w:rPr>
      </w:pPr>
      <w:r>
        <w:rPr>
          <w:rFonts w:hint="eastAsia" w:ascii="宋体" w:hAnsi="宋体" w:eastAsia="宋体"/>
          <w:bCs/>
          <w:sz w:val="24"/>
          <w:u w:val="single"/>
        </w:rPr>
        <w:t>以图纸和工程量清单所包括的范围和内容为准</w:t>
      </w:r>
      <w:r>
        <w:rPr>
          <w:rFonts w:hint="eastAsia" w:ascii="宋体" w:hAnsi="宋体" w:eastAsia="宋体"/>
          <w:bCs/>
          <w:sz w:val="24"/>
        </w:rPr>
        <w:t>。</w:t>
      </w:r>
    </w:p>
    <w:p>
      <w:pPr>
        <w:pStyle w:val="28"/>
        <w:spacing w:line="324" w:lineRule="auto"/>
        <w:ind w:firstLine="481"/>
        <w:outlineLvl w:val="1"/>
        <w:rPr>
          <w:rFonts w:ascii="宋体" w:hAnsi="宋体" w:eastAsia="宋体"/>
          <w:bCs/>
          <w:sz w:val="24"/>
        </w:rPr>
      </w:pPr>
      <w:bookmarkStart w:id="215" w:name="_Toc30576"/>
      <w:r>
        <w:rPr>
          <w:rFonts w:hint="eastAsia" w:ascii="宋体" w:hAnsi="宋体" w:eastAsia="宋体"/>
          <w:bCs/>
          <w:sz w:val="24"/>
        </w:rPr>
        <w:t>二、合同工期</w:t>
      </w:r>
      <w:bookmarkEnd w:id="215"/>
    </w:p>
    <w:p>
      <w:pPr>
        <w:pStyle w:val="28"/>
        <w:spacing w:line="324" w:lineRule="auto"/>
        <w:ind w:firstLine="481"/>
        <w:rPr>
          <w:rFonts w:ascii="宋体" w:hAnsi="宋体" w:eastAsia="宋体"/>
          <w:bCs/>
          <w:sz w:val="24"/>
        </w:rPr>
      </w:pPr>
      <w:r>
        <w:rPr>
          <w:rFonts w:hint="eastAsia" w:ascii="宋体" w:hAnsi="宋体" w:eastAsia="宋体"/>
          <w:bCs/>
          <w:sz w:val="24"/>
        </w:rPr>
        <w:t>计划开工日期：</w:t>
      </w:r>
      <w:r>
        <w:rPr>
          <w:rFonts w:ascii="宋体" w:hAnsi="宋体" w:eastAsia="宋体"/>
          <w:bCs/>
          <w:sz w:val="24"/>
        </w:rPr>
        <w:t xml:space="preserve">    </w:t>
      </w:r>
      <w:r>
        <w:rPr>
          <w:rFonts w:hint="eastAsia" w:ascii="宋体" w:hAnsi="宋体" w:eastAsia="宋体"/>
          <w:bCs/>
          <w:sz w:val="24"/>
        </w:rPr>
        <w:t>年</w:t>
      </w:r>
      <w:r>
        <w:rPr>
          <w:rFonts w:ascii="宋体" w:hAnsi="宋体" w:eastAsia="宋体"/>
          <w:bCs/>
          <w:sz w:val="24"/>
        </w:rPr>
        <w:t xml:space="preserve">   </w:t>
      </w:r>
      <w:r>
        <w:rPr>
          <w:rFonts w:hint="eastAsia" w:ascii="宋体" w:hAnsi="宋体" w:eastAsia="宋体"/>
          <w:bCs/>
          <w:sz w:val="24"/>
        </w:rPr>
        <w:t>月</w:t>
      </w:r>
      <w:r>
        <w:rPr>
          <w:rFonts w:ascii="宋体" w:hAnsi="宋体" w:eastAsia="宋体"/>
          <w:bCs/>
          <w:sz w:val="24"/>
        </w:rPr>
        <w:t xml:space="preserve">   </w:t>
      </w:r>
      <w:r>
        <w:rPr>
          <w:rFonts w:hint="eastAsia" w:ascii="宋体" w:hAnsi="宋体" w:eastAsia="宋体"/>
          <w:bCs/>
          <w:sz w:val="24"/>
        </w:rPr>
        <w:t>日。</w:t>
      </w:r>
    </w:p>
    <w:p>
      <w:pPr>
        <w:pStyle w:val="28"/>
        <w:spacing w:line="324" w:lineRule="auto"/>
        <w:ind w:firstLine="481"/>
        <w:rPr>
          <w:rFonts w:ascii="宋体" w:hAnsi="宋体" w:eastAsia="宋体"/>
          <w:bCs/>
          <w:sz w:val="24"/>
        </w:rPr>
      </w:pPr>
      <w:r>
        <w:rPr>
          <w:rFonts w:hint="eastAsia" w:ascii="宋体" w:hAnsi="宋体" w:eastAsia="宋体"/>
          <w:bCs/>
          <w:sz w:val="24"/>
        </w:rPr>
        <w:t>计划竣工日期：</w:t>
      </w:r>
      <w:r>
        <w:rPr>
          <w:rFonts w:ascii="宋体" w:hAnsi="宋体" w:eastAsia="宋体"/>
          <w:bCs/>
          <w:sz w:val="24"/>
        </w:rPr>
        <w:t xml:space="preserve">    </w:t>
      </w:r>
      <w:r>
        <w:rPr>
          <w:rFonts w:hint="eastAsia" w:ascii="宋体" w:hAnsi="宋体" w:eastAsia="宋体"/>
          <w:bCs/>
          <w:sz w:val="24"/>
        </w:rPr>
        <w:t>年</w:t>
      </w:r>
      <w:r>
        <w:rPr>
          <w:rFonts w:ascii="宋体" w:hAnsi="宋体" w:eastAsia="宋体"/>
          <w:bCs/>
          <w:sz w:val="24"/>
        </w:rPr>
        <w:t xml:space="preserve">   </w:t>
      </w:r>
      <w:r>
        <w:rPr>
          <w:rFonts w:hint="eastAsia" w:ascii="宋体" w:hAnsi="宋体" w:eastAsia="宋体"/>
          <w:bCs/>
          <w:sz w:val="24"/>
        </w:rPr>
        <w:t>月</w:t>
      </w:r>
      <w:r>
        <w:rPr>
          <w:rFonts w:ascii="宋体" w:hAnsi="宋体" w:eastAsia="宋体"/>
          <w:bCs/>
          <w:sz w:val="24"/>
        </w:rPr>
        <w:t xml:space="preserve">   </w:t>
      </w:r>
      <w:r>
        <w:rPr>
          <w:rFonts w:hint="eastAsia" w:ascii="宋体" w:hAnsi="宋体" w:eastAsia="宋体"/>
          <w:bCs/>
          <w:sz w:val="24"/>
        </w:rPr>
        <w:t>日。</w:t>
      </w:r>
    </w:p>
    <w:p>
      <w:pPr>
        <w:pStyle w:val="28"/>
        <w:spacing w:line="324" w:lineRule="auto"/>
        <w:ind w:firstLine="481"/>
        <w:rPr>
          <w:rFonts w:ascii="宋体" w:hAnsi="宋体" w:eastAsia="宋体"/>
          <w:bCs/>
          <w:sz w:val="24"/>
        </w:rPr>
      </w:pPr>
      <w:r>
        <w:rPr>
          <w:rFonts w:hint="eastAsia" w:ascii="宋体" w:hAnsi="宋体" w:eastAsia="宋体"/>
          <w:bCs/>
          <w:sz w:val="24"/>
        </w:rPr>
        <w:t>工期总日历天数：</w:t>
      </w:r>
      <w:r>
        <w:rPr>
          <w:rFonts w:ascii="宋体" w:hAnsi="宋体" w:eastAsia="宋体"/>
          <w:bCs/>
          <w:sz w:val="24"/>
          <w:u w:val="single"/>
        </w:rPr>
        <w:t>60</w:t>
      </w:r>
      <w:r>
        <w:rPr>
          <w:rFonts w:hint="eastAsia" w:ascii="宋体" w:hAnsi="宋体" w:eastAsia="宋体"/>
          <w:bCs/>
          <w:sz w:val="24"/>
        </w:rPr>
        <w:t>日历天。</w:t>
      </w:r>
      <w:r>
        <w:rPr>
          <w:rFonts w:hint="eastAsia" w:ascii="宋体" w:hAnsi="宋体" w:eastAsia="宋体"/>
          <w:bCs/>
          <w:sz w:val="24"/>
          <w:u w:val="single"/>
        </w:rPr>
        <w:t>具体开工日期以监理下发的开工令为准</w:t>
      </w:r>
      <w:r>
        <w:rPr>
          <w:rFonts w:hint="eastAsia" w:ascii="宋体" w:hAnsi="宋体" w:eastAsia="宋体"/>
          <w:bCs/>
          <w:sz w:val="24"/>
        </w:rPr>
        <w:t>，工期总日历天数与根据前述计划开竣工日期计算的工期天数不一致的，以工期总日历天数为准。</w:t>
      </w:r>
    </w:p>
    <w:p>
      <w:pPr>
        <w:pStyle w:val="28"/>
        <w:spacing w:line="324" w:lineRule="auto"/>
        <w:ind w:firstLine="481"/>
        <w:outlineLvl w:val="1"/>
        <w:rPr>
          <w:rFonts w:ascii="宋体" w:hAnsi="宋体" w:eastAsia="宋体"/>
          <w:bCs/>
          <w:sz w:val="24"/>
        </w:rPr>
      </w:pPr>
      <w:bookmarkStart w:id="216" w:name="_Toc28045"/>
      <w:r>
        <w:rPr>
          <w:rFonts w:hint="eastAsia" w:ascii="宋体" w:hAnsi="宋体" w:eastAsia="宋体"/>
          <w:bCs/>
          <w:sz w:val="24"/>
        </w:rPr>
        <w:t>三、质量标准</w:t>
      </w:r>
      <w:bookmarkEnd w:id="216"/>
    </w:p>
    <w:p>
      <w:pPr>
        <w:pStyle w:val="28"/>
        <w:spacing w:line="324" w:lineRule="auto"/>
        <w:ind w:firstLine="481"/>
        <w:rPr>
          <w:rFonts w:ascii="宋体" w:hAnsi="宋体" w:eastAsia="宋体"/>
          <w:bCs/>
          <w:sz w:val="24"/>
        </w:rPr>
      </w:pPr>
      <w:r>
        <w:rPr>
          <w:rFonts w:hint="eastAsia" w:ascii="宋体" w:hAnsi="宋体" w:eastAsia="宋体"/>
          <w:bCs/>
          <w:sz w:val="24"/>
        </w:rPr>
        <w:t>工程质量要求：符合国家、省或行业现行的工程建设质量验收标准及规范，须达到合格或以上标准，若未能达到该标准，则不予以工程验收，并应对存在的质量缺陷问题及时进行修整。</w:t>
      </w:r>
    </w:p>
    <w:p>
      <w:pPr>
        <w:pStyle w:val="28"/>
        <w:spacing w:line="324" w:lineRule="auto"/>
        <w:ind w:firstLine="481"/>
        <w:outlineLvl w:val="1"/>
        <w:rPr>
          <w:rFonts w:ascii="宋体" w:hAnsi="宋体" w:eastAsia="宋体"/>
          <w:bCs/>
          <w:sz w:val="24"/>
        </w:rPr>
      </w:pPr>
      <w:bookmarkStart w:id="217" w:name="_Toc9718"/>
      <w:r>
        <w:rPr>
          <w:rFonts w:hint="eastAsia" w:ascii="宋体" w:hAnsi="宋体" w:eastAsia="宋体"/>
          <w:bCs/>
          <w:sz w:val="24"/>
        </w:rPr>
        <w:t>四、签约合同价与合同价格形式</w:t>
      </w:r>
      <w:bookmarkEnd w:id="217"/>
    </w:p>
    <w:p>
      <w:pPr>
        <w:pStyle w:val="28"/>
        <w:spacing w:line="324" w:lineRule="auto"/>
        <w:ind w:firstLine="481"/>
        <w:rPr>
          <w:rFonts w:ascii="宋体" w:hAnsi="宋体" w:eastAsia="宋体"/>
          <w:bCs/>
          <w:sz w:val="24"/>
        </w:rPr>
      </w:pPr>
      <w:r>
        <w:rPr>
          <w:rFonts w:ascii="宋体" w:hAnsi="宋体" w:eastAsia="宋体"/>
          <w:bCs/>
          <w:sz w:val="24"/>
        </w:rPr>
        <w:t>1.签约合同价为：</w:t>
      </w:r>
    </w:p>
    <w:p>
      <w:pPr>
        <w:pStyle w:val="28"/>
        <w:spacing w:line="324" w:lineRule="auto"/>
        <w:ind w:firstLine="481"/>
        <w:rPr>
          <w:rFonts w:ascii="宋体" w:hAnsi="宋体" w:eastAsia="宋体"/>
          <w:bCs/>
          <w:sz w:val="24"/>
        </w:rPr>
      </w:pPr>
      <w:r>
        <w:rPr>
          <w:rFonts w:hint="eastAsia" w:ascii="宋体" w:hAnsi="宋体" w:eastAsia="宋体"/>
          <w:bCs/>
          <w:sz w:val="24"/>
        </w:rPr>
        <w:t>人民币（大写）</w:t>
      </w:r>
      <w:r>
        <w:rPr>
          <w:rFonts w:ascii="宋体" w:hAnsi="宋体" w:eastAsia="宋体"/>
          <w:bCs/>
          <w:sz w:val="24"/>
          <w:u w:val="single"/>
        </w:rPr>
        <w:t xml:space="preserve">             </w:t>
      </w:r>
      <w:r>
        <w:rPr>
          <w:rFonts w:ascii="宋体" w:hAnsi="宋体" w:eastAsia="宋体"/>
          <w:bCs/>
          <w:sz w:val="24"/>
        </w:rPr>
        <w:t>(¥</w:t>
      </w:r>
      <w:r>
        <w:rPr>
          <w:rFonts w:ascii="宋体" w:hAnsi="宋体" w:eastAsia="宋体"/>
          <w:bCs/>
          <w:sz w:val="24"/>
          <w:u w:val="single"/>
        </w:rPr>
        <w:t xml:space="preserve">             </w:t>
      </w:r>
      <w:r>
        <w:rPr>
          <w:rFonts w:hint="eastAsia" w:ascii="宋体" w:hAnsi="宋体" w:eastAsia="宋体"/>
          <w:bCs/>
          <w:sz w:val="24"/>
        </w:rPr>
        <w:t>元</w:t>
      </w:r>
      <w:r>
        <w:rPr>
          <w:rFonts w:ascii="宋体" w:hAnsi="宋体" w:eastAsia="宋体"/>
          <w:bCs/>
          <w:sz w:val="24"/>
        </w:rPr>
        <w:t>)；</w:t>
      </w:r>
    </w:p>
    <w:p>
      <w:pPr>
        <w:pStyle w:val="28"/>
        <w:spacing w:line="324" w:lineRule="auto"/>
        <w:ind w:firstLine="481"/>
        <w:rPr>
          <w:rFonts w:ascii="宋体" w:hAnsi="宋体" w:eastAsia="宋体"/>
          <w:bCs/>
          <w:sz w:val="24"/>
        </w:rPr>
      </w:pPr>
      <w:r>
        <w:rPr>
          <w:rFonts w:hint="eastAsia" w:ascii="宋体" w:hAnsi="宋体" w:eastAsia="宋体"/>
          <w:bCs/>
          <w:sz w:val="24"/>
        </w:rPr>
        <w:t>其中：</w:t>
      </w:r>
    </w:p>
    <w:p>
      <w:pPr>
        <w:pStyle w:val="28"/>
        <w:spacing w:line="324" w:lineRule="auto"/>
        <w:ind w:firstLine="481"/>
        <w:rPr>
          <w:rFonts w:ascii="宋体" w:hAnsi="宋体" w:eastAsia="宋体"/>
          <w:bCs/>
          <w:sz w:val="24"/>
        </w:rPr>
      </w:pPr>
      <w:r>
        <w:rPr>
          <w:rFonts w:hint="eastAsia" w:ascii="宋体" w:hAnsi="宋体" w:eastAsia="宋体"/>
          <w:bCs/>
          <w:sz w:val="24"/>
        </w:rPr>
        <w:t>（</w:t>
      </w:r>
      <w:r>
        <w:rPr>
          <w:rFonts w:ascii="宋体" w:hAnsi="宋体" w:eastAsia="宋体"/>
          <w:bCs/>
          <w:sz w:val="24"/>
        </w:rPr>
        <w:t>1）绿色施工安全防护措施费：</w:t>
      </w:r>
    </w:p>
    <w:p>
      <w:pPr>
        <w:pStyle w:val="28"/>
        <w:spacing w:line="324" w:lineRule="auto"/>
        <w:ind w:firstLine="482"/>
        <w:rPr>
          <w:rFonts w:ascii="宋体" w:hAnsi="宋体" w:eastAsia="宋体"/>
          <w:bCs/>
          <w:sz w:val="24"/>
        </w:rPr>
      </w:pPr>
      <w:r>
        <w:rPr>
          <w:rFonts w:hint="eastAsia" w:ascii="宋体" w:hAnsi="宋体" w:eastAsia="宋体"/>
          <w:bCs/>
          <w:sz w:val="24"/>
        </w:rPr>
        <w:t>人民币（大写）</w:t>
      </w:r>
      <w:r>
        <w:rPr>
          <w:rFonts w:ascii="宋体" w:hAnsi="宋体" w:eastAsia="宋体"/>
          <w:bCs/>
          <w:sz w:val="24"/>
          <w:u w:val="single"/>
        </w:rPr>
        <w:t xml:space="preserve">             </w:t>
      </w:r>
      <w:r>
        <w:rPr>
          <w:rFonts w:ascii="宋体" w:hAnsi="宋体" w:eastAsia="宋体"/>
          <w:bCs/>
          <w:sz w:val="24"/>
        </w:rPr>
        <w:t>(¥</w:t>
      </w:r>
      <w:r>
        <w:rPr>
          <w:rFonts w:ascii="宋体" w:hAnsi="宋体" w:eastAsia="宋体"/>
          <w:bCs/>
          <w:sz w:val="24"/>
          <w:u w:val="single"/>
        </w:rPr>
        <w:t xml:space="preserve">             </w:t>
      </w:r>
      <w:r>
        <w:rPr>
          <w:rFonts w:hint="eastAsia" w:ascii="宋体" w:hAnsi="宋体" w:eastAsia="宋体"/>
          <w:bCs/>
          <w:sz w:val="24"/>
        </w:rPr>
        <w:t>元</w:t>
      </w:r>
      <w:r>
        <w:rPr>
          <w:rFonts w:ascii="宋体" w:hAnsi="宋体" w:eastAsia="宋体"/>
          <w:bCs/>
          <w:sz w:val="24"/>
        </w:rPr>
        <w:t>)；</w:t>
      </w:r>
    </w:p>
    <w:p>
      <w:pPr>
        <w:pStyle w:val="28"/>
        <w:spacing w:line="324" w:lineRule="auto"/>
        <w:ind w:firstLine="482"/>
        <w:rPr>
          <w:rFonts w:ascii="宋体" w:hAnsi="宋体" w:eastAsia="宋体"/>
          <w:bCs/>
          <w:sz w:val="24"/>
        </w:rPr>
      </w:pPr>
      <w:r>
        <w:rPr>
          <w:rFonts w:hint="eastAsia" w:ascii="宋体" w:hAnsi="宋体" w:eastAsia="宋体"/>
          <w:bCs/>
          <w:sz w:val="24"/>
        </w:rPr>
        <w:t>（</w:t>
      </w:r>
      <w:r>
        <w:rPr>
          <w:rFonts w:ascii="宋体" w:hAnsi="宋体" w:eastAsia="宋体"/>
          <w:bCs/>
          <w:sz w:val="24"/>
        </w:rPr>
        <w:t>2）材料和工程设备暂估价金额：</w:t>
      </w:r>
    </w:p>
    <w:p>
      <w:pPr>
        <w:pStyle w:val="28"/>
        <w:widowControl/>
        <w:jc w:val="left"/>
        <w:rPr>
          <w:rFonts w:ascii="宋体" w:hAnsi="宋体" w:eastAsia="宋体"/>
          <w:kern w:val="0"/>
          <w:sz w:val="24"/>
        </w:rPr>
      </w:pPr>
      <w:r>
        <w:rPr>
          <w:rFonts w:ascii="宋体" w:hAnsi="宋体" w:eastAsia="宋体"/>
          <w:bCs/>
          <w:sz w:val="24"/>
        </w:rPr>
        <w:t xml:space="preserve">   人民币（大写）</w:t>
      </w:r>
      <w:r>
        <w:rPr>
          <w:rFonts w:ascii="宋体" w:hAnsi="宋体" w:eastAsia="宋体"/>
          <w:bCs/>
          <w:sz w:val="24"/>
          <w:u w:val="single"/>
        </w:rPr>
        <w:t xml:space="preserve">             </w:t>
      </w:r>
      <w:r>
        <w:rPr>
          <w:rFonts w:ascii="宋体" w:hAnsi="宋体" w:eastAsia="宋体"/>
          <w:bCs/>
          <w:sz w:val="24"/>
        </w:rPr>
        <w:t>(¥</w:t>
      </w:r>
      <w:r>
        <w:rPr>
          <w:rFonts w:ascii="宋体" w:hAnsi="宋体" w:eastAsia="宋体"/>
          <w:bCs/>
          <w:sz w:val="24"/>
          <w:u w:val="single"/>
        </w:rPr>
        <w:t xml:space="preserve">             </w:t>
      </w:r>
      <w:r>
        <w:rPr>
          <w:rFonts w:hint="eastAsia" w:ascii="宋体" w:hAnsi="宋体" w:eastAsia="宋体"/>
          <w:bCs/>
          <w:sz w:val="24"/>
        </w:rPr>
        <w:t>元</w:t>
      </w:r>
      <w:r>
        <w:rPr>
          <w:rFonts w:ascii="宋体" w:hAnsi="宋体" w:eastAsia="宋体"/>
          <w:bCs/>
          <w:sz w:val="24"/>
        </w:rPr>
        <w:t>)</w:t>
      </w:r>
    </w:p>
    <w:p>
      <w:pPr>
        <w:pStyle w:val="28"/>
        <w:spacing w:line="324" w:lineRule="auto"/>
        <w:ind w:firstLine="482"/>
        <w:rPr>
          <w:rFonts w:ascii="宋体" w:hAnsi="宋体" w:eastAsia="宋体"/>
          <w:bCs/>
          <w:sz w:val="24"/>
        </w:rPr>
      </w:pPr>
      <w:r>
        <w:rPr>
          <w:rFonts w:hint="eastAsia" w:ascii="宋体" w:hAnsi="宋体" w:eastAsia="宋体"/>
          <w:bCs/>
          <w:sz w:val="24"/>
        </w:rPr>
        <w:t>（</w:t>
      </w:r>
      <w:r>
        <w:rPr>
          <w:rFonts w:ascii="宋体" w:hAnsi="宋体" w:eastAsia="宋体"/>
          <w:bCs/>
          <w:sz w:val="24"/>
        </w:rPr>
        <w:t>3）专业工程暂估价金额：</w:t>
      </w:r>
    </w:p>
    <w:p>
      <w:pPr>
        <w:pStyle w:val="28"/>
        <w:spacing w:line="324" w:lineRule="auto"/>
        <w:ind w:firstLine="482"/>
        <w:rPr>
          <w:rFonts w:ascii="宋体" w:hAnsi="宋体" w:eastAsia="宋体"/>
          <w:bCs/>
          <w:sz w:val="24"/>
        </w:rPr>
      </w:pPr>
      <w:r>
        <w:rPr>
          <w:rFonts w:hint="eastAsia" w:ascii="宋体" w:hAnsi="宋体" w:eastAsia="宋体"/>
          <w:bCs/>
          <w:sz w:val="24"/>
        </w:rPr>
        <w:t>人民币（大写）</w:t>
      </w:r>
      <w:r>
        <w:rPr>
          <w:rFonts w:ascii="宋体" w:hAnsi="宋体" w:eastAsia="宋体"/>
          <w:bCs/>
          <w:sz w:val="24"/>
          <w:u w:val="single"/>
        </w:rPr>
        <w:t xml:space="preserve">             </w:t>
      </w:r>
      <w:r>
        <w:rPr>
          <w:rFonts w:ascii="宋体" w:hAnsi="宋体" w:eastAsia="宋体"/>
          <w:bCs/>
          <w:sz w:val="24"/>
        </w:rPr>
        <w:t>(¥</w:t>
      </w:r>
      <w:r>
        <w:rPr>
          <w:rFonts w:ascii="宋体" w:hAnsi="宋体" w:eastAsia="宋体"/>
          <w:bCs/>
          <w:sz w:val="24"/>
          <w:u w:val="single"/>
        </w:rPr>
        <w:t xml:space="preserve">             </w:t>
      </w:r>
      <w:r>
        <w:rPr>
          <w:rFonts w:hint="eastAsia" w:ascii="宋体" w:hAnsi="宋体" w:eastAsia="宋体"/>
          <w:bCs/>
          <w:sz w:val="24"/>
        </w:rPr>
        <w:t>元</w:t>
      </w:r>
      <w:r>
        <w:rPr>
          <w:rFonts w:ascii="宋体" w:hAnsi="宋体" w:eastAsia="宋体"/>
          <w:bCs/>
          <w:sz w:val="24"/>
        </w:rPr>
        <w:t>)；</w:t>
      </w:r>
    </w:p>
    <w:p>
      <w:pPr>
        <w:pStyle w:val="28"/>
        <w:spacing w:line="324" w:lineRule="auto"/>
        <w:ind w:firstLine="482"/>
        <w:rPr>
          <w:rFonts w:ascii="宋体" w:hAnsi="宋体" w:eastAsia="宋体"/>
          <w:bCs/>
          <w:sz w:val="24"/>
        </w:rPr>
      </w:pPr>
      <w:r>
        <w:rPr>
          <w:rFonts w:hint="eastAsia" w:ascii="宋体" w:hAnsi="宋体" w:eastAsia="宋体"/>
          <w:bCs/>
          <w:sz w:val="24"/>
        </w:rPr>
        <w:t>（</w:t>
      </w:r>
      <w:r>
        <w:rPr>
          <w:rFonts w:ascii="宋体" w:hAnsi="宋体" w:eastAsia="宋体"/>
          <w:bCs/>
          <w:sz w:val="24"/>
        </w:rPr>
        <w:t>4）暂列金额：</w:t>
      </w:r>
    </w:p>
    <w:p>
      <w:pPr>
        <w:pStyle w:val="28"/>
        <w:spacing w:line="324" w:lineRule="auto"/>
        <w:ind w:firstLine="482"/>
        <w:rPr>
          <w:rFonts w:ascii="宋体" w:hAnsi="宋体" w:eastAsia="宋体"/>
          <w:bCs/>
          <w:sz w:val="24"/>
        </w:rPr>
      </w:pPr>
      <w:r>
        <w:rPr>
          <w:rFonts w:hint="eastAsia" w:ascii="宋体" w:hAnsi="宋体" w:eastAsia="宋体"/>
          <w:bCs/>
          <w:sz w:val="24"/>
        </w:rPr>
        <w:t>人民币（大写）</w:t>
      </w:r>
      <w:r>
        <w:rPr>
          <w:rFonts w:ascii="宋体" w:hAnsi="宋体" w:eastAsia="宋体"/>
          <w:bCs/>
          <w:sz w:val="24"/>
          <w:u w:val="single"/>
        </w:rPr>
        <w:t xml:space="preserve">             </w:t>
      </w:r>
      <w:r>
        <w:rPr>
          <w:rFonts w:ascii="宋体" w:hAnsi="宋体" w:eastAsia="宋体"/>
          <w:bCs/>
          <w:sz w:val="24"/>
        </w:rPr>
        <w:t>(¥</w:t>
      </w:r>
      <w:r>
        <w:rPr>
          <w:rFonts w:ascii="宋体" w:hAnsi="宋体" w:eastAsia="宋体"/>
          <w:bCs/>
          <w:sz w:val="24"/>
          <w:u w:val="single"/>
        </w:rPr>
        <w:t xml:space="preserve">             </w:t>
      </w:r>
      <w:r>
        <w:rPr>
          <w:rFonts w:hint="eastAsia" w:ascii="宋体" w:hAnsi="宋体" w:eastAsia="宋体"/>
          <w:bCs/>
          <w:sz w:val="24"/>
        </w:rPr>
        <w:t>元</w:t>
      </w:r>
      <w:r>
        <w:rPr>
          <w:rFonts w:ascii="宋体" w:hAnsi="宋体" w:eastAsia="宋体"/>
          <w:bCs/>
          <w:sz w:val="24"/>
        </w:rPr>
        <w:t>)。</w:t>
      </w:r>
    </w:p>
    <w:p>
      <w:pPr>
        <w:pStyle w:val="28"/>
        <w:spacing w:line="324" w:lineRule="auto"/>
        <w:ind w:firstLine="482"/>
        <w:rPr>
          <w:rFonts w:ascii="宋体" w:hAnsi="宋体" w:eastAsia="宋体"/>
          <w:bCs/>
          <w:sz w:val="24"/>
          <w:u w:val="single"/>
        </w:rPr>
      </w:pPr>
      <w:r>
        <w:rPr>
          <w:rFonts w:ascii="宋体" w:hAnsi="宋体" w:eastAsia="宋体"/>
          <w:bCs/>
          <w:sz w:val="24"/>
        </w:rPr>
        <w:t>2.合同价格形式：</w:t>
      </w:r>
      <w:r>
        <w:rPr>
          <w:rFonts w:hint="eastAsia" w:ascii="宋体" w:hAnsi="宋体" w:eastAsia="宋体"/>
          <w:bCs/>
          <w:sz w:val="24"/>
          <w:u w:val="single"/>
        </w:rPr>
        <w:t>本工程以</w:t>
      </w:r>
      <w:r>
        <w:rPr>
          <w:rFonts w:hint="eastAsia" w:ascii="宋体" w:hAnsi="宋体" w:eastAsia="宋体"/>
          <w:sz w:val="24"/>
          <w:u w:val="single"/>
        </w:rPr>
        <w:t>综合单价包干</w:t>
      </w:r>
      <w:r>
        <w:rPr>
          <w:rFonts w:hint="eastAsia" w:ascii="宋体" w:hAnsi="宋体" w:eastAsia="宋体"/>
          <w:bCs/>
          <w:sz w:val="24"/>
          <w:u w:val="single"/>
        </w:rPr>
        <w:t>方式承包，包工、包料、包工期、包质量安全与文明施工、包工程保险、包检测、包竣工验收、包风险因素等，承包人应按照图纸、工程量清单、施工合同和有关技术规范要求完成施工。</w:t>
      </w:r>
    </w:p>
    <w:p>
      <w:pPr>
        <w:pStyle w:val="28"/>
        <w:spacing w:line="324" w:lineRule="auto"/>
        <w:ind w:firstLine="482"/>
        <w:outlineLvl w:val="1"/>
        <w:rPr>
          <w:rFonts w:ascii="宋体" w:hAnsi="宋体" w:eastAsia="宋体"/>
          <w:bCs/>
          <w:sz w:val="24"/>
        </w:rPr>
      </w:pPr>
      <w:bookmarkStart w:id="218" w:name="_Toc10729"/>
      <w:r>
        <w:rPr>
          <w:rFonts w:hint="eastAsia" w:ascii="宋体" w:hAnsi="宋体" w:eastAsia="宋体"/>
          <w:bCs/>
          <w:sz w:val="24"/>
        </w:rPr>
        <w:t>五、项目经理</w:t>
      </w:r>
      <w:bookmarkEnd w:id="218"/>
    </w:p>
    <w:p>
      <w:pPr>
        <w:pStyle w:val="28"/>
        <w:spacing w:line="324" w:lineRule="auto"/>
        <w:ind w:firstLine="481"/>
        <w:rPr>
          <w:rFonts w:ascii="宋体" w:hAnsi="宋体" w:eastAsia="宋体"/>
          <w:bCs/>
          <w:sz w:val="24"/>
        </w:rPr>
      </w:pPr>
      <w:r>
        <w:rPr>
          <w:rFonts w:hint="eastAsia" w:ascii="宋体" w:hAnsi="宋体" w:eastAsia="宋体"/>
          <w:bCs/>
          <w:sz w:val="24"/>
        </w:rPr>
        <w:t>承包人项目经理：</w:t>
      </w:r>
      <w:r>
        <w:rPr>
          <w:rFonts w:ascii="宋体" w:hAnsi="宋体" w:eastAsia="宋体"/>
          <w:bCs/>
          <w:sz w:val="24"/>
          <w:u w:val="single"/>
        </w:rPr>
        <w:t xml:space="preserve">            </w:t>
      </w:r>
      <w:r>
        <w:rPr>
          <w:rFonts w:hint="eastAsia" w:ascii="宋体" w:hAnsi="宋体" w:eastAsia="宋体"/>
          <w:bCs/>
          <w:sz w:val="24"/>
        </w:rPr>
        <w:t>。</w:t>
      </w:r>
    </w:p>
    <w:p>
      <w:pPr>
        <w:pStyle w:val="28"/>
        <w:spacing w:line="324" w:lineRule="auto"/>
        <w:ind w:firstLine="481"/>
        <w:outlineLvl w:val="1"/>
        <w:rPr>
          <w:rFonts w:ascii="宋体" w:hAnsi="宋体" w:eastAsia="宋体"/>
          <w:bCs/>
          <w:sz w:val="24"/>
        </w:rPr>
      </w:pPr>
      <w:bookmarkStart w:id="219" w:name="_Toc24119"/>
      <w:r>
        <w:rPr>
          <w:rFonts w:hint="eastAsia" w:ascii="宋体" w:hAnsi="宋体" w:eastAsia="宋体"/>
          <w:bCs/>
          <w:sz w:val="24"/>
        </w:rPr>
        <w:t>六、合同文件构成</w:t>
      </w:r>
      <w:bookmarkEnd w:id="219"/>
    </w:p>
    <w:p>
      <w:pPr>
        <w:pStyle w:val="28"/>
        <w:spacing w:line="324" w:lineRule="auto"/>
        <w:ind w:firstLine="481"/>
        <w:rPr>
          <w:rFonts w:ascii="宋体" w:hAnsi="宋体" w:eastAsia="宋体"/>
          <w:bCs/>
          <w:sz w:val="24"/>
        </w:rPr>
      </w:pPr>
      <w:r>
        <w:rPr>
          <w:rFonts w:hint="eastAsia" w:ascii="宋体" w:hAnsi="宋体" w:eastAsia="宋体"/>
          <w:bCs/>
          <w:sz w:val="24"/>
        </w:rPr>
        <w:t>本协议书与下列文件一起构成合同文件：</w:t>
      </w:r>
    </w:p>
    <w:p>
      <w:pPr>
        <w:pStyle w:val="28"/>
        <w:spacing w:line="324" w:lineRule="auto"/>
        <w:ind w:firstLine="481"/>
        <w:rPr>
          <w:rFonts w:ascii="宋体" w:hAnsi="宋体" w:eastAsia="宋体"/>
          <w:bCs/>
          <w:sz w:val="24"/>
        </w:rPr>
      </w:pPr>
      <w:r>
        <w:rPr>
          <w:rFonts w:hint="eastAsia" w:ascii="宋体" w:hAnsi="宋体" w:eastAsia="宋体"/>
          <w:bCs/>
          <w:sz w:val="24"/>
        </w:rPr>
        <w:t>（</w:t>
      </w:r>
      <w:r>
        <w:rPr>
          <w:rFonts w:ascii="宋体" w:hAnsi="宋体" w:eastAsia="宋体"/>
          <w:bCs/>
          <w:sz w:val="24"/>
        </w:rPr>
        <w:t>1）</w:t>
      </w:r>
      <w:r>
        <w:rPr>
          <w:rFonts w:hint="eastAsia" w:ascii="宋体" w:hAnsi="宋体" w:eastAsia="宋体"/>
          <w:bCs/>
          <w:sz w:val="24"/>
        </w:rPr>
        <w:t>成交</w:t>
      </w:r>
      <w:r>
        <w:rPr>
          <w:rFonts w:ascii="宋体" w:hAnsi="宋体" w:eastAsia="宋体"/>
          <w:bCs/>
          <w:sz w:val="24"/>
        </w:rPr>
        <w:t>通知书（如果有）；</w:t>
      </w:r>
    </w:p>
    <w:p>
      <w:pPr>
        <w:pStyle w:val="28"/>
        <w:spacing w:line="324" w:lineRule="auto"/>
        <w:ind w:firstLine="481"/>
        <w:rPr>
          <w:rFonts w:ascii="宋体" w:hAnsi="宋体" w:eastAsia="宋体"/>
          <w:bCs/>
          <w:sz w:val="24"/>
        </w:rPr>
      </w:pPr>
      <w:r>
        <w:rPr>
          <w:rFonts w:hint="eastAsia" w:ascii="宋体" w:hAnsi="宋体" w:eastAsia="宋体"/>
          <w:bCs/>
          <w:sz w:val="24"/>
        </w:rPr>
        <w:t>（</w:t>
      </w:r>
      <w:r>
        <w:rPr>
          <w:rFonts w:ascii="宋体" w:hAnsi="宋体" w:eastAsia="宋体"/>
          <w:bCs/>
          <w:sz w:val="24"/>
        </w:rPr>
        <w:t>2）</w:t>
      </w:r>
      <w:r>
        <w:rPr>
          <w:rFonts w:hint="eastAsia" w:ascii="宋体" w:hAnsi="宋体" w:eastAsia="宋体"/>
          <w:bCs/>
          <w:sz w:val="24"/>
        </w:rPr>
        <w:t>响应</w:t>
      </w:r>
      <w:r>
        <w:rPr>
          <w:rFonts w:ascii="宋体" w:hAnsi="宋体" w:eastAsia="宋体"/>
          <w:bCs/>
          <w:sz w:val="24"/>
        </w:rPr>
        <w:t>函及其附录（如果有）；</w:t>
      </w:r>
    </w:p>
    <w:p>
      <w:pPr>
        <w:pStyle w:val="28"/>
        <w:spacing w:line="324" w:lineRule="auto"/>
        <w:ind w:firstLine="481"/>
        <w:rPr>
          <w:rFonts w:ascii="宋体" w:hAnsi="宋体" w:eastAsia="宋体"/>
          <w:bCs/>
          <w:sz w:val="24"/>
        </w:rPr>
      </w:pPr>
      <w:r>
        <w:rPr>
          <w:rFonts w:hint="eastAsia" w:ascii="宋体" w:hAnsi="宋体" w:eastAsia="宋体"/>
          <w:bCs/>
          <w:sz w:val="24"/>
        </w:rPr>
        <w:t>（</w:t>
      </w:r>
      <w:r>
        <w:rPr>
          <w:rFonts w:ascii="宋体" w:hAnsi="宋体" w:eastAsia="宋体"/>
          <w:bCs/>
          <w:sz w:val="24"/>
        </w:rPr>
        <w:t>3）专用合同条款及其附件；</w:t>
      </w:r>
    </w:p>
    <w:p>
      <w:pPr>
        <w:pStyle w:val="28"/>
        <w:spacing w:line="324" w:lineRule="auto"/>
        <w:ind w:firstLine="481"/>
        <w:rPr>
          <w:rFonts w:ascii="宋体" w:hAnsi="宋体" w:eastAsia="宋体"/>
          <w:bCs/>
          <w:sz w:val="24"/>
        </w:rPr>
      </w:pPr>
      <w:r>
        <w:rPr>
          <w:rFonts w:hint="eastAsia" w:ascii="宋体" w:hAnsi="宋体" w:eastAsia="宋体"/>
          <w:bCs/>
          <w:sz w:val="24"/>
        </w:rPr>
        <w:t>（</w:t>
      </w:r>
      <w:r>
        <w:rPr>
          <w:rFonts w:ascii="宋体" w:hAnsi="宋体" w:eastAsia="宋体"/>
          <w:bCs/>
          <w:sz w:val="24"/>
        </w:rPr>
        <w:t>4）通用合同条款；</w:t>
      </w:r>
    </w:p>
    <w:p>
      <w:pPr>
        <w:pStyle w:val="28"/>
        <w:spacing w:line="324" w:lineRule="auto"/>
        <w:ind w:firstLine="481"/>
        <w:rPr>
          <w:rFonts w:ascii="宋体" w:hAnsi="宋体" w:eastAsia="宋体"/>
          <w:bCs/>
          <w:sz w:val="24"/>
        </w:rPr>
      </w:pPr>
      <w:r>
        <w:rPr>
          <w:rFonts w:hint="eastAsia" w:ascii="宋体" w:hAnsi="宋体" w:eastAsia="宋体"/>
          <w:bCs/>
          <w:sz w:val="24"/>
        </w:rPr>
        <w:t>（</w:t>
      </w:r>
      <w:r>
        <w:rPr>
          <w:rFonts w:ascii="宋体" w:hAnsi="宋体" w:eastAsia="宋体"/>
          <w:bCs/>
          <w:sz w:val="24"/>
        </w:rPr>
        <w:t>5）技术标准和要求；</w:t>
      </w:r>
    </w:p>
    <w:p>
      <w:pPr>
        <w:pStyle w:val="28"/>
        <w:spacing w:line="324" w:lineRule="auto"/>
        <w:ind w:firstLine="481"/>
        <w:rPr>
          <w:rFonts w:ascii="宋体" w:hAnsi="宋体" w:eastAsia="宋体"/>
          <w:bCs/>
          <w:sz w:val="24"/>
        </w:rPr>
      </w:pPr>
      <w:r>
        <w:rPr>
          <w:rFonts w:hint="eastAsia" w:ascii="宋体" w:hAnsi="宋体" w:eastAsia="宋体"/>
          <w:bCs/>
          <w:sz w:val="24"/>
        </w:rPr>
        <w:t>（</w:t>
      </w:r>
      <w:r>
        <w:rPr>
          <w:rFonts w:ascii="宋体" w:hAnsi="宋体" w:eastAsia="宋体"/>
          <w:bCs/>
          <w:sz w:val="24"/>
        </w:rPr>
        <w:t>6）图纸；</w:t>
      </w:r>
    </w:p>
    <w:p>
      <w:pPr>
        <w:pStyle w:val="28"/>
        <w:spacing w:line="324" w:lineRule="auto"/>
        <w:ind w:firstLine="481"/>
        <w:rPr>
          <w:rFonts w:ascii="宋体" w:hAnsi="宋体" w:eastAsia="宋体"/>
          <w:bCs/>
          <w:sz w:val="24"/>
        </w:rPr>
      </w:pPr>
      <w:r>
        <w:rPr>
          <w:rFonts w:hint="eastAsia" w:ascii="宋体" w:hAnsi="宋体" w:eastAsia="宋体"/>
          <w:bCs/>
          <w:sz w:val="24"/>
        </w:rPr>
        <w:t>（</w:t>
      </w:r>
      <w:r>
        <w:rPr>
          <w:rFonts w:ascii="宋体" w:hAnsi="宋体" w:eastAsia="宋体"/>
          <w:bCs/>
          <w:sz w:val="24"/>
        </w:rPr>
        <w:t>7</w:t>
      </w:r>
      <w:r>
        <w:rPr>
          <w:rFonts w:hint="eastAsia" w:ascii="宋体" w:hAnsi="宋体" w:eastAsia="宋体"/>
          <w:bCs/>
          <w:sz w:val="24"/>
        </w:rPr>
        <w:t>）已标价工程量清单或预算书；</w:t>
      </w:r>
    </w:p>
    <w:p>
      <w:pPr>
        <w:pStyle w:val="28"/>
        <w:spacing w:line="324" w:lineRule="auto"/>
        <w:ind w:firstLine="481"/>
        <w:rPr>
          <w:rFonts w:ascii="宋体" w:hAnsi="宋体" w:eastAsia="宋体"/>
          <w:bCs/>
          <w:sz w:val="24"/>
        </w:rPr>
      </w:pPr>
      <w:r>
        <w:rPr>
          <w:rFonts w:hint="eastAsia" w:ascii="宋体" w:hAnsi="宋体" w:eastAsia="宋体"/>
          <w:bCs/>
          <w:sz w:val="24"/>
        </w:rPr>
        <w:t>（</w:t>
      </w:r>
      <w:r>
        <w:rPr>
          <w:rFonts w:ascii="宋体" w:hAnsi="宋体" w:eastAsia="宋体"/>
          <w:bCs/>
          <w:sz w:val="24"/>
        </w:rPr>
        <w:t>8</w:t>
      </w:r>
      <w:r>
        <w:rPr>
          <w:rFonts w:hint="eastAsia" w:ascii="宋体" w:hAnsi="宋体" w:eastAsia="宋体"/>
          <w:bCs/>
          <w:sz w:val="24"/>
        </w:rPr>
        <w:t>）其他合同文件。</w:t>
      </w:r>
    </w:p>
    <w:p>
      <w:pPr>
        <w:pStyle w:val="28"/>
        <w:spacing w:line="324" w:lineRule="auto"/>
        <w:ind w:firstLine="481"/>
        <w:rPr>
          <w:rFonts w:ascii="宋体" w:hAnsi="宋体" w:eastAsia="宋体"/>
          <w:bCs/>
          <w:sz w:val="24"/>
        </w:rPr>
      </w:pPr>
      <w:r>
        <w:rPr>
          <w:rFonts w:hint="eastAsia" w:ascii="宋体" w:hAnsi="宋体" w:eastAsia="宋体"/>
          <w:bCs/>
          <w:sz w:val="24"/>
        </w:rPr>
        <w:t>在合同订立及履行过程中形成的与合同有关的文件均构成合同文件组成部分。</w:t>
      </w:r>
    </w:p>
    <w:p>
      <w:pPr>
        <w:pStyle w:val="28"/>
        <w:spacing w:line="324" w:lineRule="auto"/>
        <w:ind w:firstLine="481"/>
        <w:rPr>
          <w:rFonts w:ascii="宋体" w:hAnsi="宋体" w:eastAsia="宋体"/>
          <w:bCs/>
          <w:sz w:val="24"/>
        </w:rPr>
      </w:pPr>
      <w:r>
        <w:rPr>
          <w:rFonts w:hint="eastAsia" w:ascii="宋体" w:hAnsi="宋体" w:eastAsia="宋体"/>
          <w:bCs/>
          <w:sz w:val="24"/>
        </w:rPr>
        <w:t>上述各项合同文件包括合同当事人就该项合同文件所作出的补充和修改，属于同一类内容的文件，应以最新签署的为准。专用合同条款及其附件须经合同当事人签字或盖章。</w:t>
      </w:r>
    </w:p>
    <w:p>
      <w:pPr>
        <w:pStyle w:val="28"/>
        <w:spacing w:line="324" w:lineRule="auto"/>
        <w:ind w:firstLine="481"/>
        <w:outlineLvl w:val="1"/>
        <w:rPr>
          <w:rFonts w:ascii="宋体" w:hAnsi="宋体" w:eastAsia="宋体"/>
          <w:bCs/>
          <w:sz w:val="24"/>
        </w:rPr>
      </w:pPr>
      <w:bookmarkStart w:id="220" w:name="_Toc27084"/>
      <w:r>
        <w:rPr>
          <w:rFonts w:hint="eastAsia" w:ascii="宋体" w:hAnsi="宋体" w:eastAsia="宋体"/>
          <w:bCs/>
          <w:sz w:val="24"/>
        </w:rPr>
        <w:t>七、承诺</w:t>
      </w:r>
      <w:bookmarkEnd w:id="220"/>
    </w:p>
    <w:p>
      <w:pPr>
        <w:pStyle w:val="28"/>
        <w:spacing w:line="324" w:lineRule="auto"/>
        <w:ind w:firstLine="481"/>
        <w:rPr>
          <w:rFonts w:ascii="宋体" w:hAnsi="宋体" w:eastAsia="宋体"/>
          <w:bCs/>
          <w:sz w:val="24"/>
        </w:rPr>
      </w:pPr>
      <w:r>
        <w:rPr>
          <w:rFonts w:ascii="宋体" w:hAnsi="宋体" w:eastAsia="宋体"/>
          <w:bCs/>
          <w:sz w:val="24"/>
        </w:rPr>
        <w:t>1.发包人承诺按照法律规定履行项目审批手续、筹集工程建设资金并按照合同约定的期限和方式支付合同价款。</w:t>
      </w:r>
    </w:p>
    <w:p>
      <w:pPr>
        <w:pStyle w:val="28"/>
        <w:spacing w:line="324" w:lineRule="auto"/>
        <w:ind w:firstLine="481"/>
        <w:rPr>
          <w:rFonts w:ascii="宋体" w:hAnsi="宋体" w:eastAsia="宋体"/>
          <w:bCs/>
          <w:sz w:val="24"/>
        </w:rPr>
      </w:pPr>
      <w:r>
        <w:rPr>
          <w:rFonts w:ascii="宋体" w:hAnsi="宋体" w:eastAsia="宋体"/>
          <w:bCs/>
          <w:sz w:val="24"/>
        </w:rPr>
        <w:t>2.承包人承诺按照法律规定及合同约定组织完成工程施工，确保工程质量和安全，不进行转包及分包，并在缺陷责任期及保修期内承担相应的工程维修责任。</w:t>
      </w:r>
    </w:p>
    <w:p>
      <w:pPr>
        <w:pStyle w:val="28"/>
        <w:spacing w:line="324" w:lineRule="auto"/>
        <w:ind w:firstLine="481"/>
        <w:rPr>
          <w:rFonts w:ascii="宋体" w:hAnsi="宋体" w:eastAsia="宋体"/>
          <w:bCs/>
          <w:sz w:val="24"/>
        </w:rPr>
      </w:pPr>
      <w:r>
        <w:rPr>
          <w:rFonts w:ascii="宋体" w:hAnsi="宋体" w:eastAsia="宋体"/>
          <w:bCs/>
          <w:sz w:val="24"/>
        </w:rPr>
        <w:t>3.发包人和承包人通过</w:t>
      </w:r>
      <w:r>
        <w:rPr>
          <w:rFonts w:hint="eastAsia" w:ascii="宋体" w:hAnsi="宋体" w:eastAsia="宋体"/>
          <w:bCs/>
          <w:sz w:val="24"/>
        </w:rPr>
        <w:t>竞争性磋商</w:t>
      </w:r>
      <w:r>
        <w:rPr>
          <w:rFonts w:ascii="宋体" w:hAnsi="宋体" w:eastAsia="宋体"/>
          <w:bCs/>
          <w:sz w:val="24"/>
        </w:rPr>
        <w:t>形式签订合同的，双方理解并承诺不再就同一工程另行签订与合同实质性内容相背离的协议。</w:t>
      </w:r>
    </w:p>
    <w:p>
      <w:pPr>
        <w:pStyle w:val="28"/>
        <w:spacing w:line="324" w:lineRule="auto"/>
        <w:ind w:firstLine="481"/>
        <w:outlineLvl w:val="1"/>
        <w:rPr>
          <w:rFonts w:ascii="宋体" w:hAnsi="宋体" w:eastAsia="宋体"/>
          <w:bCs/>
          <w:sz w:val="24"/>
        </w:rPr>
      </w:pPr>
      <w:bookmarkStart w:id="221" w:name="_Toc21182"/>
      <w:r>
        <w:rPr>
          <w:rFonts w:hint="eastAsia" w:ascii="宋体" w:hAnsi="宋体" w:eastAsia="宋体"/>
          <w:bCs/>
          <w:sz w:val="24"/>
        </w:rPr>
        <w:t>八、词语含义</w:t>
      </w:r>
      <w:bookmarkEnd w:id="221"/>
    </w:p>
    <w:p>
      <w:pPr>
        <w:pStyle w:val="28"/>
        <w:spacing w:line="324" w:lineRule="auto"/>
        <w:ind w:firstLine="481"/>
        <w:rPr>
          <w:rFonts w:ascii="宋体" w:hAnsi="宋体" w:eastAsia="宋体"/>
          <w:bCs/>
          <w:sz w:val="24"/>
        </w:rPr>
      </w:pPr>
      <w:r>
        <w:rPr>
          <w:rFonts w:hint="eastAsia" w:ascii="宋体" w:hAnsi="宋体" w:eastAsia="宋体"/>
          <w:bCs/>
          <w:sz w:val="24"/>
        </w:rPr>
        <w:t>本协议书中词语含义与第二部分通用合同条款中赋予的含义相同。</w:t>
      </w:r>
    </w:p>
    <w:p>
      <w:pPr>
        <w:pStyle w:val="28"/>
        <w:spacing w:line="324" w:lineRule="auto"/>
        <w:ind w:firstLine="481"/>
        <w:outlineLvl w:val="1"/>
        <w:rPr>
          <w:rFonts w:ascii="宋体" w:hAnsi="宋体" w:eastAsia="宋体"/>
          <w:bCs/>
          <w:sz w:val="24"/>
        </w:rPr>
      </w:pPr>
      <w:bookmarkStart w:id="222" w:name="_Toc9540"/>
      <w:r>
        <w:rPr>
          <w:rFonts w:hint="eastAsia" w:ascii="宋体" w:hAnsi="宋体" w:eastAsia="宋体"/>
          <w:bCs/>
          <w:sz w:val="24"/>
        </w:rPr>
        <w:t>九、签订时间</w:t>
      </w:r>
      <w:bookmarkEnd w:id="222"/>
    </w:p>
    <w:p>
      <w:pPr>
        <w:pStyle w:val="28"/>
        <w:spacing w:line="324" w:lineRule="auto"/>
        <w:ind w:firstLine="481"/>
        <w:rPr>
          <w:rFonts w:ascii="宋体" w:hAnsi="宋体" w:eastAsia="宋体"/>
          <w:bCs/>
          <w:sz w:val="24"/>
        </w:rPr>
      </w:pPr>
      <w:r>
        <w:rPr>
          <w:rFonts w:hint="eastAsia" w:ascii="宋体" w:hAnsi="宋体" w:eastAsia="宋体"/>
          <w:bCs/>
          <w:sz w:val="24"/>
        </w:rPr>
        <w:t>本合同于</w:t>
      </w:r>
      <w:r>
        <w:rPr>
          <w:rFonts w:ascii="宋体" w:hAnsi="宋体" w:eastAsia="宋体"/>
          <w:bCs/>
          <w:sz w:val="24"/>
          <w:u w:val="single"/>
        </w:rPr>
        <w:t xml:space="preserve">  202</w:t>
      </w:r>
      <w:r>
        <w:rPr>
          <w:rFonts w:hint="eastAsia" w:ascii="宋体" w:hAnsi="宋体" w:eastAsia="宋体"/>
          <w:bCs/>
          <w:sz w:val="24"/>
          <w:u w:val="single"/>
        </w:rPr>
        <w:t>4</w:t>
      </w:r>
      <w:r>
        <w:rPr>
          <w:rFonts w:ascii="宋体" w:hAnsi="宋体" w:eastAsia="宋体"/>
          <w:bCs/>
          <w:sz w:val="24"/>
          <w:u w:val="single"/>
        </w:rPr>
        <w:t xml:space="preserve">  </w:t>
      </w:r>
      <w:r>
        <w:rPr>
          <w:rFonts w:hint="eastAsia" w:ascii="宋体" w:hAnsi="宋体" w:eastAsia="宋体"/>
          <w:bCs/>
          <w:sz w:val="24"/>
        </w:rPr>
        <w:t>年</w:t>
      </w:r>
      <w:r>
        <w:rPr>
          <w:rFonts w:ascii="宋体" w:hAnsi="宋体" w:eastAsia="宋体"/>
          <w:bCs/>
          <w:sz w:val="24"/>
          <w:u w:val="single"/>
        </w:rPr>
        <w:t xml:space="preserve">    </w:t>
      </w:r>
      <w:r>
        <w:rPr>
          <w:rFonts w:hint="eastAsia" w:ascii="宋体" w:hAnsi="宋体" w:eastAsia="宋体"/>
          <w:bCs/>
          <w:sz w:val="24"/>
        </w:rPr>
        <w:t>月</w:t>
      </w:r>
      <w:r>
        <w:rPr>
          <w:rFonts w:ascii="宋体" w:hAnsi="宋体" w:eastAsia="宋体"/>
          <w:bCs/>
          <w:sz w:val="24"/>
          <w:u w:val="single"/>
        </w:rPr>
        <w:t xml:space="preserve">    </w:t>
      </w:r>
      <w:r>
        <w:rPr>
          <w:rFonts w:hint="eastAsia" w:ascii="宋体" w:hAnsi="宋体" w:eastAsia="宋体"/>
          <w:bCs/>
          <w:sz w:val="24"/>
        </w:rPr>
        <w:t>日签订。</w:t>
      </w:r>
    </w:p>
    <w:p>
      <w:pPr>
        <w:pStyle w:val="28"/>
        <w:spacing w:line="324" w:lineRule="auto"/>
        <w:ind w:firstLine="481"/>
        <w:outlineLvl w:val="1"/>
        <w:rPr>
          <w:rFonts w:ascii="宋体" w:hAnsi="宋体" w:eastAsia="宋体"/>
          <w:bCs/>
          <w:sz w:val="24"/>
        </w:rPr>
      </w:pPr>
      <w:bookmarkStart w:id="223" w:name="_Toc13390"/>
      <w:r>
        <w:rPr>
          <w:rFonts w:hint="eastAsia" w:ascii="宋体" w:hAnsi="宋体" w:eastAsia="宋体"/>
          <w:bCs/>
          <w:sz w:val="24"/>
        </w:rPr>
        <w:t>十、签订地点</w:t>
      </w:r>
      <w:bookmarkEnd w:id="223"/>
    </w:p>
    <w:p>
      <w:pPr>
        <w:pStyle w:val="28"/>
        <w:spacing w:line="324" w:lineRule="auto"/>
        <w:ind w:firstLine="481"/>
        <w:rPr>
          <w:rFonts w:ascii="宋体" w:hAnsi="宋体" w:eastAsia="宋体"/>
          <w:bCs/>
          <w:sz w:val="24"/>
        </w:rPr>
      </w:pPr>
      <w:r>
        <w:rPr>
          <w:rFonts w:hint="eastAsia" w:ascii="宋体" w:hAnsi="宋体" w:eastAsia="宋体"/>
          <w:bCs/>
          <w:sz w:val="24"/>
        </w:rPr>
        <w:t>本合同在</w:t>
      </w:r>
      <w:r>
        <w:rPr>
          <w:rFonts w:hint="eastAsia" w:ascii="宋体" w:hAnsi="宋体" w:eastAsia="宋体"/>
          <w:bCs/>
          <w:sz w:val="24"/>
          <w:u w:val="single"/>
        </w:rPr>
        <w:t>佛山市三水区</w:t>
      </w:r>
      <w:r>
        <w:rPr>
          <w:rFonts w:hint="eastAsia" w:ascii="宋体" w:hAnsi="宋体" w:eastAsia="宋体"/>
          <w:bCs/>
          <w:sz w:val="24"/>
        </w:rPr>
        <w:t>签订。</w:t>
      </w:r>
    </w:p>
    <w:p>
      <w:pPr>
        <w:pStyle w:val="28"/>
        <w:spacing w:line="324" w:lineRule="auto"/>
        <w:ind w:firstLine="481"/>
        <w:outlineLvl w:val="1"/>
        <w:rPr>
          <w:rFonts w:ascii="宋体" w:hAnsi="宋体" w:eastAsia="宋体"/>
          <w:bCs/>
          <w:sz w:val="24"/>
        </w:rPr>
      </w:pPr>
      <w:bookmarkStart w:id="224" w:name="_Toc10060"/>
      <w:r>
        <w:rPr>
          <w:rFonts w:hint="eastAsia" w:ascii="宋体" w:hAnsi="宋体" w:eastAsia="宋体"/>
          <w:bCs/>
          <w:sz w:val="24"/>
        </w:rPr>
        <w:t>十一、补充协议</w:t>
      </w:r>
      <w:bookmarkEnd w:id="224"/>
    </w:p>
    <w:p>
      <w:pPr>
        <w:pStyle w:val="28"/>
        <w:spacing w:line="324" w:lineRule="auto"/>
        <w:ind w:firstLine="481"/>
        <w:rPr>
          <w:rFonts w:ascii="宋体" w:hAnsi="宋体" w:eastAsia="宋体"/>
          <w:bCs/>
          <w:sz w:val="24"/>
        </w:rPr>
      </w:pPr>
      <w:r>
        <w:rPr>
          <w:rFonts w:hint="eastAsia" w:ascii="宋体" w:hAnsi="宋体" w:eastAsia="宋体"/>
          <w:bCs/>
          <w:sz w:val="24"/>
        </w:rPr>
        <w:t>合同未尽事宜，合同当事人另行签订补充协议，补充协议是合同的组成部分。</w:t>
      </w:r>
    </w:p>
    <w:p>
      <w:pPr>
        <w:pStyle w:val="28"/>
        <w:spacing w:line="324" w:lineRule="auto"/>
        <w:ind w:firstLine="481"/>
        <w:outlineLvl w:val="1"/>
        <w:rPr>
          <w:rFonts w:ascii="宋体" w:hAnsi="宋体" w:eastAsia="宋体"/>
          <w:bCs/>
          <w:sz w:val="24"/>
        </w:rPr>
      </w:pPr>
      <w:bookmarkStart w:id="225" w:name="_Toc4657"/>
      <w:r>
        <w:rPr>
          <w:rFonts w:hint="eastAsia" w:ascii="宋体" w:hAnsi="宋体" w:eastAsia="宋体"/>
          <w:bCs/>
          <w:sz w:val="24"/>
        </w:rPr>
        <w:t>十二、合同生效</w:t>
      </w:r>
      <w:bookmarkEnd w:id="225"/>
    </w:p>
    <w:p>
      <w:pPr>
        <w:pStyle w:val="28"/>
        <w:spacing w:line="324" w:lineRule="auto"/>
        <w:ind w:firstLine="481"/>
        <w:rPr>
          <w:rFonts w:ascii="宋体" w:hAnsi="宋体" w:eastAsia="宋体"/>
          <w:bCs/>
          <w:sz w:val="24"/>
        </w:rPr>
      </w:pPr>
      <w:r>
        <w:rPr>
          <w:rFonts w:hint="eastAsia" w:ascii="宋体" w:hAnsi="宋体" w:eastAsia="宋体"/>
          <w:bCs/>
          <w:sz w:val="24"/>
        </w:rPr>
        <w:t>本合同自</w:t>
      </w:r>
      <w:r>
        <w:rPr>
          <w:rFonts w:hint="eastAsia" w:ascii="宋体" w:hAnsi="宋体" w:eastAsia="宋体"/>
          <w:bCs/>
          <w:sz w:val="24"/>
          <w:u w:val="single"/>
        </w:rPr>
        <w:t>发包人和承包人的法定代表人或其授权代理人在协议书上签字并盖单位公章后生效</w:t>
      </w:r>
      <w:r>
        <w:rPr>
          <w:rFonts w:hint="eastAsia" w:ascii="宋体" w:hAnsi="宋体" w:eastAsia="宋体"/>
          <w:bCs/>
          <w:sz w:val="24"/>
        </w:rPr>
        <w:t>。</w:t>
      </w:r>
    </w:p>
    <w:p>
      <w:pPr>
        <w:pStyle w:val="28"/>
        <w:spacing w:line="324" w:lineRule="auto"/>
        <w:ind w:firstLine="481"/>
        <w:outlineLvl w:val="1"/>
        <w:rPr>
          <w:rFonts w:ascii="宋体" w:hAnsi="宋体" w:eastAsia="宋体"/>
          <w:bCs/>
          <w:sz w:val="24"/>
        </w:rPr>
      </w:pPr>
      <w:bookmarkStart w:id="226" w:name="_Toc22872"/>
      <w:r>
        <w:rPr>
          <w:rFonts w:hint="eastAsia" w:ascii="宋体" w:hAnsi="宋体" w:eastAsia="宋体"/>
          <w:bCs/>
          <w:sz w:val="24"/>
        </w:rPr>
        <w:t>十三、合同份数</w:t>
      </w:r>
      <w:bookmarkEnd w:id="226"/>
    </w:p>
    <w:p>
      <w:pPr>
        <w:pStyle w:val="28"/>
        <w:spacing w:line="324" w:lineRule="auto"/>
        <w:ind w:firstLine="481"/>
        <w:rPr>
          <w:rFonts w:ascii="宋体" w:hAnsi="宋体" w:eastAsia="宋体"/>
          <w:bCs/>
          <w:sz w:val="24"/>
        </w:rPr>
      </w:pPr>
      <w:r>
        <w:rPr>
          <w:rFonts w:hint="eastAsia" w:ascii="宋体" w:hAnsi="宋体" w:eastAsia="宋体"/>
          <w:bCs/>
          <w:sz w:val="24"/>
        </w:rPr>
        <w:t>本合同一式</w:t>
      </w:r>
      <w:r>
        <w:rPr>
          <w:rFonts w:ascii="宋体" w:hAnsi="宋体" w:eastAsia="宋体"/>
          <w:bCs/>
          <w:sz w:val="24"/>
          <w:u w:val="single"/>
        </w:rPr>
        <w:t xml:space="preserve"> 玖 </w:t>
      </w:r>
      <w:r>
        <w:rPr>
          <w:rFonts w:hint="eastAsia" w:ascii="宋体" w:hAnsi="宋体" w:eastAsia="宋体"/>
          <w:bCs/>
          <w:sz w:val="24"/>
        </w:rPr>
        <w:t>份，均具有同等法律效力，发包人执</w:t>
      </w:r>
      <w:r>
        <w:rPr>
          <w:rFonts w:ascii="宋体" w:hAnsi="宋体" w:eastAsia="宋体"/>
          <w:bCs/>
          <w:sz w:val="24"/>
          <w:u w:val="single"/>
        </w:rPr>
        <w:t xml:space="preserve"> 肆 </w:t>
      </w:r>
      <w:r>
        <w:rPr>
          <w:rFonts w:hint="eastAsia" w:ascii="宋体" w:hAnsi="宋体" w:eastAsia="宋体"/>
          <w:bCs/>
          <w:sz w:val="24"/>
        </w:rPr>
        <w:t>份，承包人执</w:t>
      </w:r>
      <w:r>
        <w:rPr>
          <w:rFonts w:ascii="宋体" w:hAnsi="宋体" w:eastAsia="宋体"/>
          <w:bCs/>
          <w:sz w:val="24"/>
          <w:u w:val="single"/>
        </w:rPr>
        <w:t xml:space="preserve"> 肆 </w:t>
      </w:r>
      <w:r>
        <w:rPr>
          <w:rFonts w:hint="eastAsia" w:ascii="宋体" w:hAnsi="宋体" w:eastAsia="宋体"/>
          <w:bCs/>
          <w:sz w:val="24"/>
        </w:rPr>
        <w:t>份，采购代理</w:t>
      </w:r>
      <w:r>
        <w:rPr>
          <w:rFonts w:ascii="宋体" w:hAnsi="宋体" w:eastAsia="宋体"/>
          <w:bCs/>
          <w:sz w:val="24"/>
          <w:u w:val="single"/>
        </w:rPr>
        <w:t xml:space="preserve"> 壹 </w:t>
      </w:r>
      <w:r>
        <w:rPr>
          <w:rFonts w:hint="eastAsia" w:ascii="宋体" w:hAnsi="宋体" w:eastAsia="宋体"/>
          <w:bCs/>
          <w:sz w:val="24"/>
        </w:rPr>
        <w:t>份。</w:t>
      </w:r>
    </w:p>
    <w:p>
      <w:pPr>
        <w:pStyle w:val="39"/>
      </w:pPr>
    </w:p>
    <w:p>
      <w:pPr>
        <w:pStyle w:val="39"/>
      </w:pPr>
    </w:p>
    <w:p>
      <w:pPr>
        <w:pStyle w:val="39"/>
      </w:pPr>
    </w:p>
    <w:tbl>
      <w:tblPr>
        <w:tblStyle w:val="18"/>
        <w:tblW w:w="0" w:type="auto"/>
        <w:tblInd w:w="0" w:type="dxa"/>
        <w:tblLayout w:type="fixed"/>
        <w:tblCellMar>
          <w:top w:w="0" w:type="dxa"/>
          <w:left w:w="108" w:type="dxa"/>
          <w:bottom w:w="0" w:type="dxa"/>
          <w:right w:w="108" w:type="dxa"/>
        </w:tblCellMar>
      </w:tblPr>
      <w:tblGrid>
        <w:gridCol w:w="4785"/>
        <w:gridCol w:w="4785"/>
      </w:tblGrid>
      <w:tr>
        <w:tblPrEx>
          <w:tblCellMar>
            <w:top w:w="0" w:type="dxa"/>
            <w:left w:w="108" w:type="dxa"/>
            <w:bottom w:w="0" w:type="dxa"/>
            <w:right w:w="108" w:type="dxa"/>
          </w:tblCellMar>
        </w:tblPrEx>
        <w:tc>
          <w:tcPr>
            <w:tcW w:w="4785" w:type="dxa"/>
          </w:tcPr>
          <w:p>
            <w:pPr>
              <w:pStyle w:val="28"/>
              <w:spacing w:line="360" w:lineRule="auto"/>
              <w:rPr>
                <w:rFonts w:ascii="宋体" w:hAnsi="宋体" w:eastAsia="宋体"/>
                <w:bCs/>
                <w:sz w:val="24"/>
              </w:rPr>
            </w:pPr>
            <w:r>
              <w:rPr>
                <w:rFonts w:hint="eastAsia" w:ascii="宋体" w:hAnsi="宋体" w:eastAsia="宋体"/>
                <w:bCs/>
                <w:sz w:val="24"/>
              </w:rPr>
              <w:t>发包人：</w:t>
            </w:r>
            <w:r>
              <w:rPr>
                <w:rFonts w:ascii="宋体" w:hAnsi="宋体" w:eastAsia="宋体"/>
                <w:bCs/>
                <w:sz w:val="24"/>
              </w:rPr>
              <w:t xml:space="preserve">  (公章)</w:t>
            </w:r>
          </w:p>
        </w:tc>
        <w:tc>
          <w:tcPr>
            <w:tcW w:w="4785" w:type="dxa"/>
          </w:tcPr>
          <w:p>
            <w:pPr>
              <w:pStyle w:val="28"/>
              <w:spacing w:line="360" w:lineRule="auto"/>
              <w:rPr>
                <w:rFonts w:ascii="宋体" w:hAnsi="宋体" w:eastAsia="宋体"/>
                <w:bCs/>
                <w:sz w:val="24"/>
              </w:rPr>
            </w:pPr>
            <w:r>
              <w:rPr>
                <w:rFonts w:hint="eastAsia" w:ascii="宋体" w:hAnsi="宋体" w:eastAsia="宋体"/>
                <w:bCs/>
                <w:sz w:val="24"/>
              </w:rPr>
              <w:t>承包人：</w:t>
            </w:r>
            <w:r>
              <w:rPr>
                <w:rFonts w:ascii="宋体" w:hAnsi="宋体" w:eastAsia="宋体"/>
                <w:bCs/>
                <w:sz w:val="24"/>
              </w:rPr>
              <w:t xml:space="preserve">  (公章)</w:t>
            </w:r>
          </w:p>
          <w:p>
            <w:pPr>
              <w:pStyle w:val="28"/>
              <w:spacing w:line="360" w:lineRule="auto"/>
              <w:rPr>
                <w:rFonts w:ascii="宋体" w:hAnsi="宋体" w:eastAsia="宋体"/>
                <w:bCs/>
                <w:sz w:val="24"/>
              </w:rPr>
            </w:pPr>
          </w:p>
        </w:tc>
      </w:tr>
      <w:tr>
        <w:tblPrEx>
          <w:tblCellMar>
            <w:top w:w="0" w:type="dxa"/>
            <w:left w:w="108" w:type="dxa"/>
            <w:bottom w:w="0" w:type="dxa"/>
            <w:right w:w="108" w:type="dxa"/>
          </w:tblCellMar>
        </w:tblPrEx>
        <w:tc>
          <w:tcPr>
            <w:tcW w:w="4785" w:type="dxa"/>
          </w:tcPr>
          <w:p>
            <w:pPr>
              <w:pStyle w:val="28"/>
              <w:spacing w:line="360" w:lineRule="auto"/>
              <w:rPr>
                <w:rFonts w:ascii="宋体" w:hAnsi="宋体" w:eastAsia="宋体"/>
                <w:bCs/>
                <w:sz w:val="24"/>
              </w:rPr>
            </w:pPr>
            <w:r>
              <w:rPr>
                <w:rFonts w:hint="eastAsia" w:ascii="宋体" w:hAnsi="宋体" w:eastAsia="宋体"/>
                <w:bCs/>
                <w:sz w:val="24"/>
              </w:rPr>
              <w:t>法定代表人或其委托代理人：（签字）</w:t>
            </w:r>
          </w:p>
          <w:p>
            <w:pPr>
              <w:pStyle w:val="28"/>
              <w:spacing w:line="360" w:lineRule="auto"/>
              <w:rPr>
                <w:rFonts w:ascii="宋体" w:hAnsi="宋体" w:eastAsia="宋体"/>
                <w:bCs/>
                <w:sz w:val="24"/>
              </w:rPr>
            </w:pPr>
            <w:r>
              <w:rPr>
                <w:rFonts w:hint="eastAsia" w:ascii="宋体" w:hAnsi="宋体" w:eastAsia="宋体"/>
                <w:bCs/>
                <w:sz w:val="24"/>
              </w:rPr>
              <w:t>经办人：（签字）</w:t>
            </w:r>
          </w:p>
        </w:tc>
        <w:tc>
          <w:tcPr>
            <w:tcW w:w="4785" w:type="dxa"/>
          </w:tcPr>
          <w:p>
            <w:pPr>
              <w:pStyle w:val="28"/>
              <w:spacing w:line="360" w:lineRule="auto"/>
              <w:rPr>
                <w:rFonts w:ascii="宋体" w:hAnsi="宋体" w:eastAsia="宋体"/>
                <w:bCs/>
                <w:sz w:val="24"/>
              </w:rPr>
            </w:pPr>
            <w:r>
              <w:rPr>
                <w:rFonts w:hint="eastAsia" w:ascii="宋体" w:hAnsi="宋体" w:eastAsia="宋体"/>
                <w:bCs/>
                <w:sz w:val="24"/>
              </w:rPr>
              <w:t>法定代表人或其委托代理人：（签字）</w:t>
            </w:r>
          </w:p>
          <w:p>
            <w:pPr>
              <w:pStyle w:val="28"/>
              <w:spacing w:line="360" w:lineRule="auto"/>
              <w:rPr>
                <w:rFonts w:ascii="宋体" w:hAnsi="宋体" w:eastAsia="宋体"/>
                <w:bCs/>
                <w:sz w:val="24"/>
              </w:rPr>
            </w:pPr>
            <w:r>
              <w:rPr>
                <w:rFonts w:hint="eastAsia" w:ascii="宋体" w:hAnsi="宋体" w:eastAsia="宋体"/>
                <w:bCs/>
                <w:sz w:val="24"/>
              </w:rPr>
              <w:t>经办人：（签字）</w:t>
            </w:r>
          </w:p>
        </w:tc>
      </w:tr>
      <w:tr>
        <w:tblPrEx>
          <w:tblCellMar>
            <w:top w:w="0" w:type="dxa"/>
            <w:left w:w="108" w:type="dxa"/>
            <w:bottom w:w="0" w:type="dxa"/>
            <w:right w:w="108" w:type="dxa"/>
          </w:tblCellMar>
        </w:tblPrEx>
        <w:tc>
          <w:tcPr>
            <w:tcW w:w="4785" w:type="dxa"/>
          </w:tcPr>
          <w:p>
            <w:pPr>
              <w:pStyle w:val="28"/>
              <w:spacing w:line="360" w:lineRule="auto"/>
              <w:rPr>
                <w:rFonts w:ascii="宋体" w:hAnsi="宋体" w:eastAsia="宋体"/>
                <w:bCs/>
                <w:sz w:val="24"/>
              </w:rPr>
            </w:pPr>
            <w:r>
              <w:rPr>
                <w:rFonts w:hint="eastAsia" w:ascii="宋体" w:hAnsi="宋体" w:eastAsia="宋体"/>
                <w:bCs/>
                <w:sz w:val="24"/>
              </w:rPr>
              <w:t>组织机构代码：</w:t>
            </w:r>
          </w:p>
        </w:tc>
        <w:tc>
          <w:tcPr>
            <w:tcW w:w="4785" w:type="dxa"/>
          </w:tcPr>
          <w:p>
            <w:pPr>
              <w:pStyle w:val="28"/>
              <w:spacing w:line="360" w:lineRule="auto"/>
              <w:rPr>
                <w:rFonts w:ascii="宋体" w:hAnsi="宋体" w:eastAsia="宋体"/>
                <w:bCs/>
                <w:sz w:val="24"/>
              </w:rPr>
            </w:pPr>
            <w:r>
              <w:rPr>
                <w:rFonts w:hint="eastAsia" w:ascii="宋体" w:hAnsi="宋体" w:eastAsia="宋体"/>
                <w:bCs/>
                <w:sz w:val="24"/>
              </w:rPr>
              <w:t>组织机构代码：</w:t>
            </w:r>
          </w:p>
        </w:tc>
      </w:tr>
      <w:tr>
        <w:tblPrEx>
          <w:tblCellMar>
            <w:top w:w="0" w:type="dxa"/>
            <w:left w:w="108" w:type="dxa"/>
            <w:bottom w:w="0" w:type="dxa"/>
            <w:right w:w="108" w:type="dxa"/>
          </w:tblCellMar>
        </w:tblPrEx>
        <w:tc>
          <w:tcPr>
            <w:tcW w:w="4785" w:type="dxa"/>
          </w:tcPr>
          <w:p>
            <w:pPr>
              <w:pStyle w:val="28"/>
              <w:spacing w:line="360" w:lineRule="auto"/>
              <w:rPr>
                <w:rFonts w:ascii="宋体" w:hAnsi="宋体" w:eastAsia="宋体"/>
                <w:bCs/>
                <w:sz w:val="24"/>
              </w:rPr>
            </w:pPr>
            <w:r>
              <w:rPr>
                <w:rFonts w:hint="eastAsia" w:ascii="宋体" w:hAnsi="宋体" w:eastAsia="宋体"/>
                <w:bCs/>
                <w:sz w:val="24"/>
              </w:rPr>
              <w:t>地</w:t>
            </w:r>
            <w:r>
              <w:rPr>
                <w:rFonts w:ascii="宋体" w:hAnsi="宋体" w:eastAsia="宋体"/>
                <w:bCs/>
                <w:sz w:val="24"/>
              </w:rPr>
              <w:t xml:space="preserve">  </w:t>
            </w:r>
            <w:r>
              <w:rPr>
                <w:rFonts w:hint="eastAsia" w:ascii="宋体" w:hAnsi="宋体" w:eastAsia="宋体"/>
                <w:bCs/>
                <w:sz w:val="24"/>
              </w:rPr>
              <w:t>址：</w:t>
            </w:r>
          </w:p>
        </w:tc>
        <w:tc>
          <w:tcPr>
            <w:tcW w:w="4785" w:type="dxa"/>
          </w:tcPr>
          <w:p>
            <w:pPr>
              <w:pStyle w:val="28"/>
              <w:spacing w:line="360" w:lineRule="auto"/>
              <w:rPr>
                <w:rFonts w:ascii="宋体" w:hAnsi="宋体" w:eastAsia="宋体"/>
                <w:bCs/>
                <w:sz w:val="24"/>
              </w:rPr>
            </w:pPr>
            <w:r>
              <w:rPr>
                <w:rFonts w:hint="eastAsia" w:ascii="宋体" w:hAnsi="宋体" w:eastAsia="宋体"/>
                <w:bCs/>
                <w:sz w:val="24"/>
              </w:rPr>
              <w:t>邮政编码：</w:t>
            </w:r>
          </w:p>
        </w:tc>
      </w:tr>
      <w:tr>
        <w:tblPrEx>
          <w:tblCellMar>
            <w:top w:w="0" w:type="dxa"/>
            <w:left w:w="108" w:type="dxa"/>
            <w:bottom w:w="0" w:type="dxa"/>
            <w:right w:w="108" w:type="dxa"/>
          </w:tblCellMar>
        </w:tblPrEx>
        <w:tc>
          <w:tcPr>
            <w:tcW w:w="4785" w:type="dxa"/>
          </w:tcPr>
          <w:p>
            <w:pPr>
              <w:pStyle w:val="28"/>
              <w:spacing w:line="360" w:lineRule="auto"/>
              <w:rPr>
                <w:rFonts w:ascii="宋体" w:hAnsi="宋体" w:eastAsia="宋体"/>
                <w:bCs/>
                <w:sz w:val="24"/>
              </w:rPr>
            </w:pPr>
            <w:r>
              <w:rPr>
                <w:rFonts w:hint="eastAsia" w:ascii="宋体" w:hAnsi="宋体" w:eastAsia="宋体"/>
                <w:bCs/>
                <w:sz w:val="24"/>
              </w:rPr>
              <w:t>法定代表人：</w:t>
            </w:r>
          </w:p>
        </w:tc>
        <w:tc>
          <w:tcPr>
            <w:tcW w:w="4785" w:type="dxa"/>
          </w:tcPr>
          <w:p>
            <w:pPr>
              <w:pStyle w:val="28"/>
              <w:spacing w:line="360" w:lineRule="auto"/>
              <w:rPr>
                <w:rFonts w:ascii="宋体" w:hAnsi="宋体" w:eastAsia="宋体"/>
                <w:bCs/>
                <w:sz w:val="24"/>
              </w:rPr>
            </w:pPr>
            <w:r>
              <w:rPr>
                <w:rFonts w:hint="eastAsia" w:ascii="宋体" w:hAnsi="宋体" w:eastAsia="宋体"/>
                <w:bCs/>
                <w:sz w:val="24"/>
              </w:rPr>
              <w:t>法定代表人：</w:t>
            </w:r>
          </w:p>
        </w:tc>
      </w:tr>
      <w:tr>
        <w:tblPrEx>
          <w:tblCellMar>
            <w:top w:w="0" w:type="dxa"/>
            <w:left w:w="108" w:type="dxa"/>
            <w:bottom w:w="0" w:type="dxa"/>
            <w:right w:w="108" w:type="dxa"/>
          </w:tblCellMar>
        </w:tblPrEx>
        <w:tc>
          <w:tcPr>
            <w:tcW w:w="4785" w:type="dxa"/>
          </w:tcPr>
          <w:p>
            <w:pPr>
              <w:pStyle w:val="28"/>
              <w:spacing w:line="360" w:lineRule="auto"/>
              <w:rPr>
                <w:rFonts w:ascii="宋体" w:hAnsi="宋体" w:eastAsia="宋体"/>
                <w:bCs/>
                <w:sz w:val="24"/>
              </w:rPr>
            </w:pPr>
            <w:r>
              <w:rPr>
                <w:rFonts w:hint="eastAsia" w:ascii="宋体" w:hAnsi="宋体" w:eastAsia="宋体"/>
                <w:bCs/>
                <w:sz w:val="24"/>
              </w:rPr>
              <w:t>委托代理人：</w:t>
            </w:r>
          </w:p>
        </w:tc>
        <w:tc>
          <w:tcPr>
            <w:tcW w:w="4785" w:type="dxa"/>
          </w:tcPr>
          <w:p>
            <w:pPr>
              <w:pStyle w:val="28"/>
              <w:spacing w:line="360" w:lineRule="auto"/>
              <w:rPr>
                <w:rFonts w:ascii="宋体" w:hAnsi="宋体" w:eastAsia="宋体"/>
                <w:bCs/>
                <w:sz w:val="24"/>
              </w:rPr>
            </w:pPr>
            <w:r>
              <w:rPr>
                <w:rFonts w:hint="eastAsia" w:ascii="宋体" w:hAnsi="宋体" w:eastAsia="宋体"/>
                <w:bCs/>
                <w:sz w:val="24"/>
              </w:rPr>
              <w:t>委托代理人：</w:t>
            </w:r>
          </w:p>
        </w:tc>
      </w:tr>
      <w:tr>
        <w:tblPrEx>
          <w:tblCellMar>
            <w:top w:w="0" w:type="dxa"/>
            <w:left w:w="108" w:type="dxa"/>
            <w:bottom w:w="0" w:type="dxa"/>
            <w:right w:w="108" w:type="dxa"/>
          </w:tblCellMar>
        </w:tblPrEx>
        <w:tc>
          <w:tcPr>
            <w:tcW w:w="4785" w:type="dxa"/>
          </w:tcPr>
          <w:p>
            <w:pPr>
              <w:pStyle w:val="28"/>
              <w:spacing w:line="360" w:lineRule="auto"/>
              <w:rPr>
                <w:rFonts w:ascii="宋体" w:hAnsi="宋体" w:eastAsia="宋体"/>
                <w:bCs/>
                <w:sz w:val="24"/>
              </w:rPr>
            </w:pPr>
            <w:r>
              <w:rPr>
                <w:rFonts w:hint="eastAsia" w:ascii="宋体" w:hAnsi="宋体" w:eastAsia="宋体"/>
                <w:bCs/>
                <w:sz w:val="24"/>
              </w:rPr>
              <w:t>电</w:t>
            </w:r>
            <w:r>
              <w:rPr>
                <w:rFonts w:ascii="宋体" w:hAnsi="宋体" w:eastAsia="宋体"/>
                <w:bCs/>
                <w:sz w:val="24"/>
              </w:rPr>
              <w:t xml:space="preserve">  </w:t>
            </w:r>
            <w:r>
              <w:rPr>
                <w:rFonts w:hint="eastAsia" w:ascii="宋体" w:hAnsi="宋体" w:eastAsia="宋体"/>
                <w:bCs/>
                <w:sz w:val="24"/>
              </w:rPr>
              <w:t>话：</w:t>
            </w:r>
          </w:p>
        </w:tc>
        <w:tc>
          <w:tcPr>
            <w:tcW w:w="4785" w:type="dxa"/>
          </w:tcPr>
          <w:p>
            <w:pPr>
              <w:pStyle w:val="28"/>
              <w:spacing w:line="360" w:lineRule="auto"/>
              <w:rPr>
                <w:rFonts w:ascii="宋体" w:hAnsi="宋体" w:eastAsia="宋体"/>
                <w:bCs/>
                <w:sz w:val="24"/>
              </w:rPr>
            </w:pPr>
            <w:r>
              <w:rPr>
                <w:rFonts w:hint="eastAsia" w:ascii="宋体" w:hAnsi="宋体" w:eastAsia="宋体"/>
                <w:bCs/>
                <w:sz w:val="24"/>
              </w:rPr>
              <w:t>电</w:t>
            </w:r>
            <w:r>
              <w:rPr>
                <w:rFonts w:ascii="宋体" w:hAnsi="宋体" w:eastAsia="宋体"/>
                <w:bCs/>
                <w:sz w:val="24"/>
              </w:rPr>
              <w:t xml:space="preserve">  </w:t>
            </w:r>
            <w:r>
              <w:rPr>
                <w:rFonts w:hint="eastAsia" w:ascii="宋体" w:hAnsi="宋体" w:eastAsia="宋体"/>
                <w:bCs/>
                <w:sz w:val="24"/>
              </w:rPr>
              <w:t>话：</w:t>
            </w:r>
          </w:p>
        </w:tc>
      </w:tr>
      <w:tr>
        <w:tblPrEx>
          <w:tblCellMar>
            <w:top w:w="0" w:type="dxa"/>
            <w:left w:w="108" w:type="dxa"/>
            <w:bottom w:w="0" w:type="dxa"/>
            <w:right w:w="108" w:type="dxa"/>
          </w:tblCellMar>
        </w:tblPrEx>
        <w:tc>
          <w:tcPr>
            <w:tcW w:w="4785" w:type="dxa"/>
          </w:tcPr>
          <w:p>
            <w:pPr>
              <w:pStyle w:val="28"/>
              <w:spacing w:line="360" w:lineRule="auto"/>
              <w:rPr>
                <w:rFonts w:ascii="宋体" w:hAnsi="宋体" w:eastAsia="宋体"/>
                <w:bCs/>
                <w:sz w:val="24"/>
              </w:rPr>
            </w:pPr>
            <w:r>
              <w:rPr>
                <w:rFonts w:hint="eastAsia" w:ascii="宋体" w:hAnsi="宋体" w:eastAsia="宋体"/>
                <w:bCs/>
                <w:sz w:val="24"/>
              </w:rPr>
              <w:t>传</w:t>
            </w:r>
            <w:r>
              <w:rPr>
                <w:rFonts w:ascii="宋体" w:hAnsi="宋体" w:eastAsia="宋体"/>
                <w:bCs/>
                <w:sz w:val="24"/>
              </w:rPr>
              <w:t xml:space="preserve">  </w:t>
            </w:r>
            <w:r>
              <w:rPr>
                <w:rFonts w:hint="eastAsia" w:ascii="宋体" w:hAnsi="宋体" w:eastAsia="宋体"/>
                <w:bCs/>
                <w:sz w:val="24"/>
              </w:rPr>
              <w:t>真：</w:t>
            </w:r>
          </w:p>
        </w:tc>
        <w:tc>
          <w:tcPr>
            <w:tcW w:w="4785" w:type="dxa"/>
          </w:tcPr>
          <w:p>
            <w:pPr>
              <w:pStyle w:val="28"/>
              <w:spacing w:line="360" w:lineRule="auto"/>
              <w:rPr>
                <w:rFonts w:ascii="宋体" w:hAnsi="宋体" w:eastAsia="宋体"/>
                <w:bCs/>
                <w:sz w:val="24"/>
              </w:rPr>
            </w:pPr>
            <w:r>
              <w:rPr>
                <w:rFonts w:hint="eastAsia" w:ascii="宋体" w:hAnsi="宋体" w:eastAsia="宋体"/>
                <w:bCs/>
                <w:sz w:val="24"/>
              </w:rPr>
              <w:t>传</w:t>
            </w:r>
            <w:r>
              <w:rPr>
                <w:rFonts w:ascii="宋体" w:hAnsi="宋体" w:eastAsia="宋体"/>
                <w:bCs/>
                <w:sz w:val="24"/>
              </w:rPr>
              <w:t xml:space="preserve">  </w:t>
            </w:r>
            <w:r>
              <w:rPr>
                <w:rFonts w:hint="eastAsia" w:ascii="宋体" w:hAnsi="宋体" w:eastAsia="宋体"/>
                <w:bCs/>
                <w:sz w:val="24"/>
              </w:rPr>
              <w:t>真：</w:t>
            </w:r>
          </w:p>
        </w:tc>
      </w:tr>
      <w:tr>
        <w:tblPrEx>
          <w:tblCellMar>
            <w:top w:w="0" w:type="dxa"/>
            <w:left w:w="108" w:type="dxa"/>
            <w:bottom w:w="0" w:type="dxa"/>
            <w:right w:w="108" w:type="dxa"/>
          </w:tblCellMar>
        </w:tblPrEx>
        <w:tc>
          <w:tcPr>
            <w:tcW w:w="4785" w:type="dxa"/>
          </w:tcPr>
          <w:p>
            <w:pPr>
              <w:pStyle w:val="28"/>
              <w:spacing w:line="360" w:lineRule="auto"/>
              <w:rPr>
                <w:rFonts w:ascii="宋体" w:hAnsi="宋体" w:eastAsia="宋体"/>
                <w:bCs/>
                <w:sz w:val="24"/>
              </w:rPr>
            </w:pPr>
            <w:r>
              <w:rPr>
                <w:rFonts w:hint="eastAsia" w:ascii="宋体" w:hAnsi="宋体" w:eastAsia="宋体"/>
                <w:bCs/>
                <w:sz w:val="24"/>
              </w:rPr>
              <w:t>电子信箱：</w:t>
            </w:r>
          </w:p>
        </w:tc>
        <w:tc>
          <w:tcPr>
            <w:tcW w:w="4785" w:type="dxa"/>
          </w:tcPr>
          <w:p>
            <w:pPr>
              <w:pStyle w:val="28"/>
              <w:spacing w:line="360" w:lineRule="auto"/>
              <w:rPr>
                <w:rFonts w:ascii="宋体" w:hAnsi="宋体" w:eastAsia="宋体"/>
                <w:bCs/>
                <w:sz w:val="24"/>
              </w:rPr>
            </w:pPr>
            <w:r>
              <w:rPr>
                <w:rFonts w:hint="eastAsia" w:ascii="宋体" w:hAnsi="宋体" w:eastAsia="宋体"/>
                <w:bCs/>
                <w:sz w:val="24"/>
              </w:rPr>
              <w:t>电子信箱：</w:t>
            </w:r>
          </w:p>
        </w:tc>
      </w:tr>
      <w:tr>
        <w:tblPrEx>
          <w:tblCellMar>
            <w:top w:w="0" w:type="dxa"/>
            <w:left w:w="108" w:type="dxa"/>
            <w:bottom w:w="0" w:type="dxa"/>
            <w:right w:w="108" w:type="dxa"/>
          </w:tblCellMar>
        </w:tblPrEx>
        <w:tc>
          <w:tcPr>
            <w:tcW w:w="4785" w:type="dxa"/>
          </w:tcPr>
          <w:p>
            <w:pPr>
              <w:pStyle w:val="28"/>
              <w:spacing w:line="360" w:lineRule="auto"/>
              <w:rPr>
                <w:rFonts w:ascii="宋体" w:hAnsi="宋体" w:eastAsia="宋体"/>
                <w:bCs/>
                <w:sz w:val="24"/>
              </w:rPr>
            </w:pPr>
            <w:r>
              <w:rPr>
                <w:rFonts w:hint="eastAsia" w:ascii="宋体" w:hAnsi="宋体" w:eastAsia="宋体"/>
                <w:bCs/>
                <w:sz w:val="24"/>
              </w:rPr>
              <w:t>开户银行：</w:t>
            </w:r>
          </w:p>
        </w:tc>
        <w:tc>
          <w:tcPr>
            <w:tcW w:w="4785" w:type="dxa"/>
          </w:tcPr>
          <w:p>
            <w:pPr>
              <w:pStyle w:val="28"/>
              <w:spacing w:line="360" w:lineRule="auto"/>
              <w:rPr>
                <w:rFonts w:ascii="宋体" w:hAnsi="宋体" w:eastAsia="宋体"/>
                <w:bCs/>
                <w:sz w:val="24"/>
              </w:rPr>
            </w:pPr>
            <w:r>
              <w:rPr>
                <w:rFonts w:hint="eastAsia" w:ascii="宋体" w:hAnsi="宋体" w:eastAsia="宋体"/>
                <w:bCs/>
                <w:sz w:val="24"/>
              </w:rPr>
              <w:t>开户银行：</w:t>
            </w:r>
          </w:p>
        </w:tc>
      </w:tr>
      <w:tr>
        <w:tblPrEx>
          <w:tblCellMar>
            <w:top w:w="0" w:type="dxa"/>
            <w:left w:w="108" w:type="dxa"/>
            <w:bottom w:w="0" w:type="dxa"/>
            <w:right w:w="108" w:type="dxa"/>
          </w:tblCellMar>
        </w:tblPrEx>
        <w:tc>
          <w:tcPr>
            <w:tcW w:w="4785" w:type="dxa"/>
          </w:tcPr>
          <w:p>
            <w:pPr>
              <w:pStyle w:val="28"/>
              <w:spacing w:line="360" w:lineRule="auto"/>
              <w:rPr>
                <w:rFonts w:ascii="宋体" w:hAnsi="宋体" w:eastAsia="宋体"/>
                <w:bCs/>
                <w:sz w:val="24"/>
              </w:rPr>
            </w:pPr>
            <w:r>
              <w:rPr>
                <w:rFonts w:hint="eastAsia" w:ascii="宋体" w:hAnsi="宋体" w:eastAsia="宋体"/>
                <w:bCs/>
                <w:sz w:val="24"/>
              </w:rPr>
              <w:t>账</w:t>
            </w:r>
            <w:r>
              <w:rPr>
                <w:rFonts w:ascii="宋体" w:hAnsi="宋体" w:eastAsia="宋体"/>
                <w:bCs/>
                <w:sz w:val="24"/>
              </w:rPr>
              <w:t xml:space="preserve">  </w:t>
            </w:r>
            <w:r>
              <w:rPr>
                <w:rFonts w:hint="eastAsia" w:ascii="宋体" w:hAnsi="宋体" w:eastAsia="宋体"/>
                <w:bCs/>
                <w:sz w:val="24"/>
              </w:rPr>
              <w:t>号：</w:t>
            </w:r>
          </w:p>
        </w:tc>
        <w:tc>
          <w:tcPr>
            <w:tcW w:w="4785" w:type="dxa"/>
          </w:tcPr>
          <w:p>
            <w:pPr>
              <w:pStyle w:val="28"/>
              <w:spacing w:line="360" w:lineRule="auto"/>
              <w:rPr>
                <w:rFonts w:ascii="宋体" w:hAnsi="宋体" w:eastAsia="宋体"/>
                <w:bCs/>
                <w:sz w:val="24"/>
              </w:rPr>
            </w:pPr>
            <w:r>
              <w:rPr>
                <w:rFonts w:hint="eastAsia" w:ascii="宋体" w:hAnsi="宋体" w:eastAsia="宋体"/>
                <w:bCs/>
                <w:sz w:val="24"/>
              </w:rPr>
              <w:t>账</w:t>
            </w:r>
            <w:r>
              <w:rPr>
                <w:rFonts w:ascii="宋体" w:hAnsi="宋体" w:eastAsia="宋体"/>
                <w:bCs/>
                <w:sz w:val="24"/>
              </w:rPr>
              <w:t xml:space="preserve">  </w:t>
            </w:r>
            <w:r>
              <w:rPr>
                <w:rFonts w:hint="eastAsia" w:ascii="宋体" w:hAnsi="宋体" w:eastAsia="宋体"/>
                <w:bCs/>
                <w:sz w:val="24"/>
              </w:rPr>
              <w:t>号：</w:t>
            </w:r>
          </w:p>
        </w:tc>
      </w:tr>
    </w:tbl>
    <w:p>
      <w:pPr>
        <w:pStyle w:val="28"/>
        <w:spacing w:before="100" w:beforeAutospacing="1" w:after="100" w:afterAutospacing="1"/>
        <w:rPr>
          <w:rFonts w:ascii="宋体" w:hAnsi="宋体" w:eastAsia="宋体"/>
          <w:kern w:val="0"/>
          <w:sz w:val="20"/>
          <w:szCs w:val="20"/>
        </w:rPr>
      </w:pPr>
      <w:r>
        <w:rPr>
          <w:rFonts w:ascii="宋体" w:hAnsi="宋体" w:eastAsia="宋体"/>
          <w:kern w:val="0"/>
          <w:sz w:val="20"/>
          <w:szCs w:val="20"/>
        </w:rPr>
        <w:br w:type="page"/>
      </w:r>
    </w:p>
    <w:p>
      <w:pPr>
        <w:pStyle w:val="28"/>
        <w:keepNext/>
        <w:keepLines/>
        <w:tabs>
          <w:tab w:val="left" w:pos="1440"/>
        </w:tabs>
        <w:spacing w:line="412" w:lineRule="auto"/>
        <w:jc w:val="center"/>
        <w:outlineLvl w:val="0"/>
        <w:rPr>
          <w:rFonts w:ascii="宋体" w:hAnsi="宋体" w:eastAsia="宋体"/>
          <w:b/>
          <w:bCs/>
          <w:sz w:val="32"/>
          <w:szCs w:val="32"/>
        </w:rPr>
      </w:pPr>
      <w:bookmarkStart w:id="227" w:name="_Toc107933209"/>
      <w:bookmarkStart w:id="228" w:name="_Toc135399429"/>
      <w:bookmarkStart w:id="229" w:name="_Toc117175049"/>
      <w:bookmarkStart w:id="230" w:name="_Toc86334490"/>
      <w:bookmarkStart w:id="231" w:name="_Toc12817"/>
      <w:bookmarkStart w:id="232" w:name="_Toc101169593"/>
      <w:bookmarkStart w:id="233" w:name="_Toc135068260"/>
      <w:r>
        <w:rPr>
          <w:rFonts w:hint="eastAsia" w:ascii="宋体" w:hAnsi="宋体" w:eastAsia="宋体"/>
          <w:b/>
          <w:bCs/>
          <w:sz w:val="32"/>
          <w:szCs w:val="32"/>
        </w:rPr>
        <w:t>第二部分</w:t>
      </w:r>
      <w:r>
        <w:rPr>
          <w:rFonts w:ascii="宋体" w:hAnsi="宋体" w:eastAsia="宋体"/>
          <w:b/>
          <w:bCs/>
          <w:sz w:val="32"/>
          <w:szCs w:val="32"/>
        </w:rPr>
        <w:t xml:space="preserve"> </w:t>
      </w:r>
      <w:r>
        <w:rPr>
          <w:rFonts w:hint="eastAsia" w:ascii="宋体" w:hAnsi="宋体" w:eastAsia="宋体"/>
          <w:b/>
          <w:bCs/>
          <w:sz w:val="32"/>
          <w:szCs w:val="32"/>
        </w:rPr>
        <w:t>通用合同条款</w:t>
      </w:r>
      <w:bookmarkEnd w:id="227"/>
      <w:bookmarkEnd w:id="228"/>
      <w:bookmarkEnd w:id="229"/>
      <w:bookmarkEnd w:id="230"/>
      <w:bookmarkEnd w:id="231"/>
      <w:bookmarkEnd w:id="232"/>
      <w:bookmarkEnd w:id="233"/>
    </w:p>
    <w:p>
      <w:pPr>
        <w:pStyle w:val="28"/>
        <w:rPr>
          <w:rFonts w:ascii="宋体" w:hAnsi="宋体" w:eastAsia="宋体"/>
        </w:rPr>
      </w:pPr>
    </w:p>
    <w:p>
      <w:pPr>
        <w:pStyle w:val="28"/>
        <w:spacing w:line="440" w:lineRule="exact"/>
        <w:rPr>
          <w:rFonts w:ascii="宋体" w:hAnsi="宋体" w:eastAsia="宋体"/>
          <w:sz w:val="24"/>
        </w:rPr>
      </w:pPr>
      <w:r>
        <w:rPr>
          <w:rFonts w:ascii="宋体" w:hAnsi="宋体" w:eastAsia="宋体"/>
          <w:sz w:val="24"/>
        </w:rPr>
        <w:t xml:space="preserve">    通用合同条款直接引用《建设工程施工合同（示范文本）（GF-2017-0201）第二部分“通用合同条款”内容。此略。</w:t>
      </w:r>
    </w:p>
    <w:p>
      <w:pPr>
        <w:pStyle w:val="28"/>
        <w:spacing w:line="360" w:lineRule="auto"/>
        <w:rPr>
          <w:rFonts w:ascii="宋体" w:hAnsi="宋体" w:eastAsia="宋体"/>
          <w:sz w:val="24"/>
        </w:rPr>
      </w:pPr>
    </w:p>
    <w:p>
      <w:pPr>
        <w:pStyle w:val="28"/>
        <w:spacing w:line="400" w:lineRule="exact"/>
        <w:rPr>
          <w:rFonts w:ascii="宋体" w:hAnsi="宋体" w:eastAsia="宋体"/>
          <w:sz w:val="24"/>
        </w:rPr>
      </w:pPr>
    </w:p>
    <w:p>
      <w:pPr>
        <w:pStyle w:val="28"/>
        <w:spacing w:line="400" w:lineRule="exact"/>
        <w:rPr>
          <w:rFonts w:ascii="宋体" w:hAnsi="宋体" w:eastAsia="宋体"/>
          <w:sz w:val="24"/>
        </w:rPr>
      </w:pPr>
    </w:p>
    <w:p>
      <w:pPr>
        <w:pStyle w:val="28"/>
        <w:spacing w:line="400" w:lineRule="exact"/>
        <w:rPr>
          <w:rFonts w:ascii="宋体" w:hAnsi="宋体" w:eastAsia="宋体"/>
          <w:sz w:val="24"/>
        </w:rPr>
      </w:pPr>
    </w:p>
    <w:p>
      <w:pPr>
        <w:pStyle w:val="28"/>
        <w:keepNext/>
        <w:keepLines/>
        <w:spacing w:line="415" w:lineRule="auto"/>
        <w:jc w:val="center"/>
        <w:outlineLvl w:val="0"/>
        <w:rPr>
          <w:rFonts w:ascii="宋体" w:hAnsi="宋体" w:eastAsia="宋体"/>
          <w:b/>
          <w:bCs/>
          <w:sz w:val="32"/>
          <w:szCs w:val="32"/>
        </w:rPr>
      </w:pPr>
      <w:r>
        <w:rPr>
          <w:rFonts w:ascii="宋体" w:hAnsi="宋体" w:eastAsia="宋体"/>
          <w:b/>
          <w:bCs/>
          <w:sz w:val="32"/>
          <w:szCs w:val="32"/>
        </w:rPr>
        <w:br w:type="page"/>
      </w:r>
      <w:bookmarkStart w:id="234" w:name="_Toc101169594"/>
      <w:bookmarkStart w:id="235" w:name="_Toc3146"/>
      <w:bookmarkStart w:id="236" w:name="_Toc86334491"/>
      <w:bookmarkStart w:id="237" w:name="_Toc117175050"/>
      <w:bookmarkStart w:id="238" w:name="_Toc135068261"/>
      <w:bookmarkStart w:id="239" w:name="_Toc135399430"/>
      <w:bookmarkStart w:id="240" w:name="_Toc107933210"/>
      <w:r>
        <w:rPr>
          <w:rFonts w:hint="eastAsia" w:ascii="宋体" w:hAnsi="宋体" w:eastAsia="宋体"/>
          <w:b/>
          <w:bCs/>
          <w:sz w:val="32"/>
          <w:szCs w:val="32"/>
        </w:rPr>
        <w:t>第三部分</w:t>
      </w:r>
      <w:r>
        <w:rPr>
          <w:rFonts w:ascii="宋体" w:hAnsi="宋体" w:eastAsia="宋体"/>
          <w:b/>
          <w:bCs/>
          <w:sz w:val="32"/>
          <w:szCs w:val="32"/>
        </w:rPr>
        <w:t xml:space="preserve"> </w:t>
      </w:r>
      <w:r>
        <w:rPr>
          <w:rFonts w:hint="eastAsia" w:ascii="宋体" w:hAnsi="宋体" w:eastAsia="宋体"/>
          <w:b/>
          <w:bCs/>
          <w:sz w:val="32"/>
          <w:szCs w:val="32"/>
        </w:rPr>
        <w:t>专用合同条款</w:t>
      </w:r>
      <w:bookmarkEnd w:id="234"/>
      <w:bookmarkEnd w:id="235"/>
      <w:bookmarkEnd w:id="236"/>
      <w:bookmarkEnd w:id="237"/>
      <w:bookmarkEnd w:id="238"/>
      <w:bookmarkEnd w:id="239"/>
      <w:bookmarkEnd w:id="240"/>
    </w:p>
    <w:p>
      <w:pPr>
        <w:pStyle w:val="28"/>
        <w:spacing w:line="440" w:lineRule="exact"/>
        <w:outlineLvl w:val="1"/>
        <w:rPr>
          <w:rFonts w:ascii="宋体" w:hAnsi="宋体" w:eastAsia="宋体"/>
          <w:kern w:val="0"/>
          <w:sz w:val="24"/>
        </w:rPr>
      </w:pPr>
      <w:bookmarkStart w:id="241" w:name="_Toc17318"/>
      <w:r>
        <w:rPr>
          <w:rFonts w:ascii="宋体" w:hAnsi="宋体" w:eastAsia="宋体"/>
          <w:kern w:val="0"/>
          <w:sz w:val="24"/>
        </w:rPr>
        <w:t xml:space="preserve">1. </w:t>
      </w:r>
      <w:r>
        <w:rPr>
          <w:rFonts w:hint="eastAsia" w:ascii="宋体" w:hAnsi="宋体" w:eastAsia="宋体"/>
          <w:kern w:val="0"/>
          <w:sz w:val="24"/>
        </w:rPr>
        <w:t>一般约定</w:t>
      </w:r>
      <w:bookmarkEnd w:id="241"/>
    </w:p>
    <w:p>
      <w:pPr>
        <w:pStyle w:val="28"/>
        <w:spacing w:line="440" w:lineRule="exact"/>
        <w:ind w:firstLine="480" w:firstLineChars="200"/>
        <w:rPr>
          <w:rFonts w:ascii="宋体" w:hAnsi="宋体" w:eastAsia="宋体"/>
          <w:kern w:val="0"/>
          <w:sz w:val="24"/>
        </w:rPr>
      </w:pPr>
      <w:r>
        <w:rPr>
          <w:rFonts w:ascii="宋体" w:hAnsi="宋体" w:eastAsia="宋体"/>
          <w:kern w:val="0"/>
          <w:sz w:val="24"/>
        </w:rPr>
        <w:t xml:space="preserve">1.1 </w:t>
      </w:r>
      <w:r>
        <w:rPr>
          <w:rFonts w:hint="eastAsia" w:ascii="宋体" w:hAnsi="宋体" w:eastAsia="宋体"/>
          <w:kern w:val="0"/>
          <w:sz w:val="24"/>
        </w:rPr>
        <w:t>词语定义</w:t>
      </w:r>
    </w:p>
    <w:p>
      <w:pPr>
        <w:pStyle w:val="28"/>
        <w:spacing w:line="440" w:lineRule="exact"/>
        <w:ind w:firstLine="480" w:firstLineChars="200"/>
        <w:rPr>
          <w:rFonts w:ascii="宋体" w:hAnsi="宋体" w:eastAsia="宋体"/>
          <w:kern w:val="0"/>
          <w:sz w:val="24"/>
        </w:rPr>
      </w:pPr>
      <w:r>
        <w:rPr>
          <w:rFonts w:ascii="宋体" w:hAnsi="宋体" w:eastAsia="宋体"/>
          <w:kern w:val="0"/>
          <w:sz w:val="24"/>
        </w:rPr>
        <w:t>1.1.1合同</w:t>
      </w:r>
    </w:p>
    <w:p>
      <w:pPr>
        <w:pStyle w:val="28"/>
        <w:spacing w:line="440" w:lineRule="exact"/>
        <w:ind w:firstLine="480" w:firstLineChars="200"/>
        <w:rPr>
          <w:rFonts w:ascii="宋体" w:hAnsi="宋体" w:eastAsia="宋体"/>
          <w:kern w:val="0"/>
          <w:sz w:val="24"/>
        </w:rPr>
      </w:pPr>
      <w:r>
        <w:rPr>
          <w:rFonts w:ascii="宋体" w:hAnsi="宋体" w:eastAsia="宋体"/>
          <w:kern w:val="0"/>
          <w:sz w:val="24"/>
        </w:rPr>
        <w:t>1.1.1.10其他合同文件包括：</w:t>
      </w:r>
      <w:r>
        <w:rPr>
          <w:rFonts w:hint="eastAsia" w:ascii="宋体" w:hAnsi="宋体" w:eastAsia="宋体"/>
          <w:kern w:val="0"/>
          <w:sz w:val="24"/>
          <w:u w:val="single"/>
        </w:rPr>
        <w:t>竞争性磋商文件及、响应文件、施工图纸、协议书、成交通知书、合同专用条款、合同通用条款、本工程工程量清单、本合同履行过程中双方以书面形式签署的补充和修正文件（含会议纪要、工程变更、签证等修正文件）、工程相关约定的其他文件</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1.1.2 </w:t>
      </w:r>
      <w:r>
        <w:rPr>
          <w:rFonts w:hint="eastAsia" w:ascii="宋体" w:hAnsi="宋体" w:eastAsia="宋体"/>
          <w:sz w:val="24"/>
        </w:rPr>
        <w:t>合同当事人及其他相关方</w:t>
      </w:r>
    </w:p>
    <w:p>
      <w:pPr>
        <w:pStyle w:val="28"/>
        <w:spacing w:line="440" w:lineRule="exact"/>
        <w:ind w:firstLine="480" w:firstLineChars="200"/>
        <w:rPr>
          <w:rFonts w:ascii="宋体" w:hAnsi="宋体" w:eastAsia="宋体"/>
          <w:sz w:val="24"/>
        </w:rPr>
      </w:pPr>
      <w:r>
        <w:rPr>
          <w:rFonts w:ascii="宋体" w:hAnsi="宋体" w:eastAsia="宋体"/>
          <w:sz w:val="24"/>
        </w:rPr>
        <w:t>1.1.2.4监理人：</w:t>
      </w:r>
    </w:p>
    <w:p>
      <w:pPr>
        <w:pStyle w:val="28"/>
        <w:spacing w:line="440" w:lineRule="exact"/>
        <w:ind w:firstLine="480" w:firstLineChars="200"/>
        <w:rPr>
          <w:rFonts w:ascii="宋体" w:hAnsi="宋体" w:eastAsia="宋体"/>
          <w:sz w:val="24"/>
        </w:rPr>
      </w:pPr>
      <w:r>
        <w:rPr>
          <w:rFonts w:hint="eastAsia" w:ascii="宋体" w:hAnsi="宋体" w:eastAsia="宋体"/>
          <w:sz w:val="24"/>
        </w:rPr>
        <w:t>名</w:t>
      </w:r>
      <w:r>
        <w:rPr>
          <w:rFonts w:ascii="宋体" w:hAnsi="宋体" w:eastAsia="宋体"/>
          <w:sz w:val="24"/>
        </w:rPr>
        <w:t xml:space="preserve">    </w:t>
      </w:r>
      <w:r>
        <w:rPr>
          <w:rFonts w:hint="eastAsia" w:ascii="宋体" w:hAnsi="宋体" w:eastAsia="宋体"/>
          <w:sz w:val="24"/>
        </w:rPr>
        <w:t>称：</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资质类别和等级：</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联系电话：</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电子信箱：</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通信地址：</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1.1.2.5 </w:t>
      </w:r>
      <w:r>
        <w:rPr>
          <w:rFonts w:hint="eastAsia" w:ascii="宋体" w:hAnsi="宋体" w:eastAsia="宋体"/>
          <w:sz w:val="24"/>
        </w:rPr>
        <w:t>设计人：</w:t>
      </w:r>
    </w:p>
    <w:p>
      <w:pPr>
        <w:pStyle w:val="28"/>
        <w:spacing w:line="440" w:lineRule="exact"/>
        <w:ind w:firstLine="480" w:firstLineChars="200"/>
        <w:rPr>
          <w:rFonts w:ascii="宋体" w:hAnsi="宋体" w:eastAsia="宋体"/>
          <w:sz w:val="24"/>
        </w:rPr>
      </w:pPr>
      <w:r>
        <w:rPr>
          <w:rFonts w:hint="eastAsia" w:ascii="宋体" w:hAnsi="宋体" w:eastAsia="宋体"/>
          <w:sz w:val="24"/>
        </w:rPr>
        <w:t>名</w:t>
      </w:r>
      <w:r>
        <w:rPr>
          <w:rFonts w:ascii="宋体" w:hAnsi="宋体" w:eastAsia="宋体"/>
          <w:sz w:val="24"/>
        </w:rPr>
        <w:t xml:space="preserve">    </w:t>
      </w:r>
      <w:r>
        <w:rPr>
          <w:rFonts w:hint="eastAsia" w:ascii="宋体" w:hAnsi="宋体" w:eastAsia="宋体"/>
          <w:sz w:val="24"/>
        </w:rPr>
        <w:t>称：</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资质类别和等级：</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联系电话：</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电子信箱：</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通信地址：</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1.1.3 </w:t>
      </w:r>
      <w:r>
        <w:rPr>
          <w:rFonts w:hint="eastAsia" w:ascii="宋体" w:hAnsi="宋体" w:eastAsia="宋体"/>
          <w:sz w:val="24"/>
        </w:rPr>
        <w:t>工程和设备</w:t>
      </w:r>
    </w:p>
    <w:p>
      <w:pPr>
        <w:pStyle w:val="28"/>
        <w:spacing w:line="440" w:lineRule="exact"/>
        <w:ind w:firstLine="480" w:firstLineChars="200"/>
        <w:rPr>
          <w:rFonts w:ascii="宋体" w:hAnsi="宋体" w:eastAsia="宋体"/>
          <w:sz w:val="24"/>
        </w:rPr>
      </w:pPr>
      <w:r>
        <w:rPr>
          <w:rFonts w:ascii="宋体" w:hAnsi="宋体" w:eastAsia="宋体"/>
          <w:sz w:val="24"/>
        </w:rPr>
        <w:t xml:space="preserve">1.1.3.7 </w:t>
      </w:r>
      <w:r>
        <w:rPr>
          <w:rFonts w:hint="eastAsia" w:ascii="宋体" w:hAnsi="宋体" w:eastAsia="宋体"/>
          <w:sz w:val="24"/>
        </w:rPr>
        <w:t>作为施工现场组成部分的其他场所包括：</w:t>
      </w:r>
      <w:r>
        <w:rPr>
          <w:rFonts w:hint="eastAsia" w:ascii="宋体" w:hAnsi="宋体" w:eastAsia="宋体"/>
          <w:sz w:val="24"/>
          <w:u w:val="single"/>
        </w:rPr>
        <w:t>符合通用条款规定的发包人提供的施工场地</w:t>
      </w:r>
      <w:r>
        <w:rPr>
          <w:rFonts w:hint="eastAsia" w:ascii="宋体" w:hAnsi="宋体" w:eastAsia="宋体"/>
          <w:sz w:val="24"/>
        </w:rPr>
        <w:t>。</w:t>
      </w:r>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 xml:space="preserve">1.1.3.9 </w:t>
      </w:r>
      <w:r>
        <w:rPr>
          <w:rFonts w:hint="eastAsia" w:ascii="宋体" w:hAnsi="宋体" w:eastAsia="宋体"/>
          <w:kern w:val="0"/>
          <w:sz w:val="24"/>
        </w:rPr>
        <w:t>永久占地包括：</w:t>
      </w:r>
      <w:r>
        <w:rPr>
          <w:rFonts w:hint="eastAsia" w:ascii="宋体" w:hAnsi="宋体" w:eastAsia="宋体"/>
          <w:sz w:val="24"/>
          <w:u w:val="single"/>
        </w:rPr>
        <w:t>依据设计图纸确定</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sz w:val="24"/>
        </w:rPr>
      </w:pPr>
      <w:r>
        <w:rPr>
          <w:rFonts w:ascii="宋体" w:hAnsi="宋体" w:eastAsia="宋体"/>
          <w:kern w:val="0"/>
          <w:sz w:val="24"/>
        </w:rPr>
        <w:t xml:space="preserve">1.1.3.10 </w:t>
      </w:r>
      <w:r>
        <w:rPr>
          <w:rFonts w:hint="eastAsia" w:ascii="宋体" w:hAnsi="宋体" w:eastAsia="宋体"/>
          <w:kern w:val="0"/>
          <w:sz w:val="24"/>
        </w:rPr>
        <w:t>临时占地包括：</w:t>
      </w:r>
      <w:r>
        <w:rPr>
          <w:rFonts w:hint="eastAsia" w:ascii="宋体" w:hAnsi="宋体" w:eastAsia="宋体"/>
          <w:sz w:val="24"/>
          <w:u w:val="single"/>
        </w:rPr>
        <w:t>双方在合同履行过程中确定</w:t>
      </w:r>
      <w:r>
        <w:rPr>
          <w:rFonts w:hint="eastAsia" w:ascii="宋体" w:hAnsi="宋体" w:eastAsia="宋体"/>
          <w:kern w:val="0"/>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1.3法律 </w:t>
      </w:r>
    </w:p>
    <w:p>
      <w:pPr>
        <w:pStyle w:val="28"/>
        <w:autoSpaceDE w:val="0"/>
        <w:autoSpaceDN w:val="0"/>
        <w:spacing w:line="440" w:lineRule="exact"/>
        <w:jc w:val="left"/>
        <w:rPr>
          <w:rFonts w:ascii="宋体" w:hAnsi="宋体" w:eastAsia="宋体"/>
          <w:sz w:val="24"/>
        </w:rPr>
      </w:pPr>
      <w:r>
        <w:rPr>
          <w:rFonts w:hint="eastAsia" w:ascii="宋体" w:hAnsi="宋体" w:eastAsia="宋体"/>
          <w:sz w:val="24"/>
        </w:rPr>
        <w:t>适用于合同的其他规范性文件：</w:t>
      </w:r>
      <w:r>
        <w:rPr>
          <w:rFonts w:hint="eastAsia" w:ascii="宋体" w:hAnsi="宋体" w:eastAsia="宋体"/>
          <w:sz w:val="24"/>
          <w:u w:val="single"/>
        </w:rPr>
        <w:t>按竞争性磋商文件、本工程设计文件和图纸载明的相关的施工及验收规范和国家及地方标准的计价规范等。相关标准，规范文件资料由承包人自行筹集，费用已包含在合同总价中</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1.4 </w:t>
      </w:r>
      <w:r>
        <w:rPr>
          <w:rFonts w:hint="eastAsia" w:ascii="宋体" w:hAnsi="宋体" w:eastAsia="宋体"/>
          <w:sz w:val="24"/>
        </w:rPr>
        <w:t>标准和规范</w:t>
      </w:r>
    </w:p>
    <w:p>
      <w:pPr>
        <w:pStyle w:val="28"/>
        <w:spacing w:line="440" w:lineRule="exact"/>
        <w:ind w:firstLine="480" w:firstLineChars="200"/>
        <w:rPr>
          <w:rFonts w:ascii="宋体" w:hAnsi="宋体" w:eastAsia="宋体"/>
          <w:sz w:val="24"/>
        </w:rPr>
      </w:pPr>
      <w:r>
        <w:rPr>
          <w:rFonts w:ascii="宋体" w:hAnsi="宋体" w:eastAsia="宋体"/>
          <w:sz w:val="24"/>
        </w:rPr>
        <w:t>1.4.1适用于工程的标准规范包括：</w:t>
      </w:r>
      <w:r>
        <w:rPr>
          <w:rFonts w:hint="eastAsia" w:ascii="宋体" w:hAnsi="宋体" w:eastAsia="宋体"/>
          <w:sz w:val="24"/>
          <w:u w:val="single"/>
        </w:rPr>
        <w:t>按通用条款执行</w:t>
      </w:r>
      <w:r>
        <w:rPr>
          <w:rFonts w:hint="eastAsia" w:ascii="宋体" w:hAnsi="宋体" w:eastAsia="宋体"/>
          <w:sz w:val="24"/>
        </w:rPr>
        <w:t>。</w:t>
      </w:r>
    </w:p>
    <w:p>
      <w:pPr>
        <w:pStyle w:val="28"/>
        <w:spacing w:line="440" w:lineRule="exact"/>
        <w:ind w:firstLine="480" w:firstLineChars="200"/>
        <w:rPr>
          <w:rFonts w:ascii="宋体" w:hAnsi="宋体" w:eastAsia="宋体"/>
          <w:kern w:val="0"/>
          <w:sz w:val="24"/>
        </w:rPr>
      </w:pPr>
      <w:r>
        <w:rPr>
          <w:rFonts w:ascii="宋体" w:hAnsi="宋体" w:eastAsia="宋体"/>
          <w:kern w:val="0"/>
          <w:sz w:val="24"/>
        </w:rPr>
        <w:t xml:space="preserve">1.4.2 </w:t>
      </w:r>
      <w:r>
        <w:rPr>
          <w:rFonts w:hint="eastAsia" w:ascii="宋体" w:hAnsi="宋体" w:eastAsia="宋体"/>
          <w:kern w:val="0"/>
          <w:sz w:val="24"/>
        </w:rPr>
        <w:t>发包人提供国外标准、规范的名称：</w:t>
      </w:r>
      <w:r>
        <w:rPr>
          <w:rFonts w:hint="eastAsia" w:ascii="宋体" w:hAnsi="宋体" w:eastAsia="宋体"/>
          <w:kern w:val="0"/>
          <w:sz w:val="24"/>
          <w:u w:val="single"/>
        </w:rPr>
        <w:t>无</w:t>
      </w:r>
      <w:r>
        <w:rPr>
          <w:rFonts w:hint="eastAsia" w:ascii="宋体" w:hAnsi="宋体" w:eastAsia="宋体"/>
          <w:kern w:val="0"/>
          <w:sz w:val="24"/>
        </w:rPr>
        <w:t>；</w:t>
      </w:r>
    </w:p>
    <w:p>
      <w:pPr>
        <w:pStyle w:val="28"/>
        <w:spacing w:line="440" w:lineRule="exact"/>
        <w:ind w:firstLine="480" w:firstLineChars="200"/>
        <w:rPr>
          <w:rFonts w:ascii="宋体" w:hAnsi="宋体" w:eastAsia="宋体"/>
          <w:kern w:val="0"/>
          <w:sz w:val="24"/>
        </w:rPr>
      </w:pPr>
      <w:r>
        <w:rPr>
          <w:rFonts w:hint="eastAsia" w:ascii="宋体" w:hAnsi="宋体" w:eastAsia="宋体"/>
          <w:kern w:val="0"/>
          <w:sz w:val="24"/>
        </w:rPr>
        <w:t>发包人提供国外标准、规范的份数：</w:t>
      </w:r>
      <w:r>
        <w:rPr>
          <w:rFonts w:hint="eastAsia" w:ascii="宋体" w:hAnsi="宋体" w:eastAsia="宋体"/>
          <w:kern w:val="0"/>
          <w:sz w:val="24"/>
          <w:u w:val="single"/>
        </w:rPr>
        <w:t>无</w:t>
      </w:r>
      <w:r>
        <w:rPr>
          <w:rFonts w:hint="eastAsia" w:ascii="宋体" w:hAnsi="宋体" w:eastAsia="宋体"/>
          <w:kern w:val="0"/>
          <w:sz w:val="24"/>
        </w:rPr>
        <w:t>；</w:t>
      </w:r>
    </w:p>
    <w:p>
      <w:pPr>
        <w:pStyle w:val="28"/>
        <w:spacing w:line="440" w:lineRule="exact"/>
        <w:ind w:firstLine="480" w:firstLineChars="200"/>
        <w:rPr>
          <w:rFonts w:ascii="宋体" w:hAnsi="宋体" w:eastAsia="宋体"/>
          <w:sz w:val="24"/>
        </w:rPr>
      </w:pPr>
      <w:r>
        <w:rPr>
          <w:rFonts w:hint="eastAsia" w:ascii="宋体" w:hAnsi="宋体" w:eastAsia="宋体"/>
          <w:kern w:val="0"/>
          <w:sz w:val="24"/>
        </w:rPr>
        <w:t>发包人提供国外标准、规范的名称：</w:t>
      </w:r>
      <w:r>
        <w:rPr>
          <w:rFonts w:hint="eastAsia" w:ascii="宋体" w:hAnsi="宋体" w:eastAsia="宋体"/>
          <w:kern w:val="0"/>
          <w:sz w:val="24"/>
          <w:u w:val="single"/>
        </w:rPr>
        <w:t>无</w:t>
      </w:r>
      <w:r>
        <w:rPr>
          <w:rFonts w:hint="eastAsia" w:ascii="宋体" w:hAnsi="宋体" w:eastAsia="宋体"/>
          <w:kern w:val="0"/>
          <w:sz w:val="24"/>
        </w:rPr>
        <w:t>。</w:t>
      </w:r>
    </w:p>
    <w:p>
      <w:pPr>
        <w:pStyle w:val="28"/>
        <w:spacing w:line="440" w:lineRule="exact"/>
        <w:ind w:firstLine="480" w:firstLineChars="200"/>
        <w:rPr>
          <w:rFonts w:ascii="宋体" w:hAnsi="宋体" w:eastAsia="宋体"/>
          <w:sz w:val="24"/>
        </w:rPr>
      </w:pPr>
      <w:r>
        <w:rPr>
          <w:rFonts w:ascii="宋体" w:hAnsi="宋体" w:eastAsia="宋体"/>
          <w:sz w:val="24"/>
        </w:rPr>
        <w:t>1.4.3发包人对工程的技术标准和功能要求的特殊要求：</w:t>
      </w:r>
      <w:r>
        <w:rPr>
          <w:rFonts w:hint="eastAsia" w:ascii="宋体" w:hAnsi="宋体" w:eastAsia="宋体"/>
          <w:sz w:val="24"/>
          <w:u w:val="single"/>
        </w:rPr>
        <w:t>详见施工设计图纸</w:t>
      </w:r>
      <w:r>
        <w:rPr>
          <w:rFonts w:hint="eastAsia" w:ascii="宋体" w:hAnsi="宋体" w:eastAsia="宋体"/>
          <w:sz w:val="24"/>
        </w:rPr>
        <w:t>。</w:t>
      </w:r>
    </w:p>
    <w:p>
      <w:pPr>
        <w:pStyle w:val="28"/>
        <w:spacing w:line="440" w:lineRule="exact"/>
        <w:ind w:firstLine="480" w:firstLineChars="200"/>
        <w:rPr>
          <w:rFonts w:ascii="宋体" w:hAnsi="宋体" w:eastAsia="宋体"/>
          <w:kern w:val="0"/>
          <w:sz w:val="24"/>
        </w:rPr>
      </w:pPr>
      <w:r>
        <w:rPr>
          <w:rFonts w:ascii="宋体" w:hAnsi="宋体" w:eastAsia="宋体"/>
          <w:kern w:val="0"/>
          <w:sz w:val="24"/>
        </w:rPr>
        <w:t xml:space="preserve">1.5 </w:t>
      </w:r>
      <w:r>
        <w:rPr>
          <w:rFonts w:hint="eastAsia" w:ascii="宋体" w:hAnsi="宋体" w:eastAsia="宋体"/>
          <w:kern w:val="0"/>
          <w:sz w:val="24"/>
        </w:rPr>
        <w:t>合同文件的优先顺序</w:t>
      </w:r>
    </w:p>
    <w:p>
      <w:pPr>
        <w:pStyle w:val="28"/>
        <w:spacing w:line="440" w:lineRule="exact"/>
        <w:ind w:firstLine="480" w:firstLineChars="200"/>
        <w:rPr>
          <w:rFonts w:ascii="宋体" w:hAnsi="宋体" w:eastAsia="宋体"/>
          <w:sz w:val="24"/>
        </w:rPr>
      </w:pPr>
      <w:r>
        <w:rPr>
          <w:rFonts w:hint="eastAsia" w:ascii="宋体" w:hAnsi="宋体" w:eastAsia="宋体"/>
          <w:sz w:val="24"/>
        </w:rPr>
        <w:t>合同文件组成及优先顺序为：</w:t>
      </w:r>
    </w:p>
    <w:p>
      <w:pPr>
        <w:pStyle w:val="28"/>
        <w:spacing w:line="440" w:lineRule="exact"/>
        <w:ind w:firstLine="480" w:firstLineChars="200"/>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1）本合同履行过程中双方以书面形式签署的补充和修正文件（含会议纪要、工程变更、签证等修正文件）；</w:t>
      </w:r>
    </w:p>
    <w:p>
      <w:pPr>
        <w:pStyle w:val="28"/>
        <w:spacing w:line="440" w:lineRule="exact"/>
        <w:ind w:firstLine="480" w:firstLineChars="200"/>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2）本合同协议书；</w:t>
      </w:r>
    </w:p>
    <w:p>
      <w:pPr>
        <w:pStyle w:val="28"/>
        <w:spacing w:line="440" w:lineRule="exact"/>
        <w:ind w:firstLine="480" w:firstLineChars="200"/>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3）</w:t>
      </w:r>
      <w:r>
        <w:rPr>
          <w:rFonts w:hint="eastAsia" w:ascii="宋体" w:hAnsi="宋体" w:eastAsia="宋体"/>
          <w:sz w:val="24"/>
          <w:u w:val="single"/>
        </w:rPr>
        <w:t>成交</w:t>
      </w:r>
      <w:r>
        <w:rPr>
          <w:rFonts w:ascii="宋体" w:hAnsi="宋体" w:eastAsia="宋体"/>
          <w:sz w:val="24"/>
          <w:u w:val="single"/>
        </w:rPr>
        <w:t>通知书；</w:t>
      </w:r>
    </w:p>
    <w:p>
      <w:pPr>
        <w:pStyle w:val="28"/>
        <w:spacing w:line="440" w:lineRule="exact"/>
        <w:ind w:firstLine="480" w:firstLineChars="200"/>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4）本合同专用条款［含工程质量保修书（格式）］；</w:t>
      </w:r>
    </w:p>
    <w:p>
      <w:pPr>
        <w:pStyle w:val="28"/>
        <w:spacing w:line="440" w:lineRule="exact"/>
        <w:ind w:firstLine="480" w:firstLineChars="200"/>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5）竞争性磋商文件及其附件（含图纸、工程量清单）、及答疑补遗文件；</w:t>
      </w:r>
    </w:p>
    <w:p>
      <w:pPr>
        <w:pStyle w:val="28"/>
        <w:spacing w:line="440" w:lineRule="exact"/>
        <w:ind w:firstLine="480" w:firstLineChars="200"/>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6）本合同通用条款；</w:t>
      </w:r>
    </w:p>
    <w:p>
      <w:pPr>
        <w:pStyle w:val="28"/>
        <w:spacing w:line="440" w:lineRule="exact"/>
        <w:ind w:firstLine="480" w:firstLineChars="200"/>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7）承包人响应文件及其附件（含评标期间的澄清文件和补充资料）；</w:t>
      </w:r>
    </w:p>
    <w:p>
      <w:pPr>
        <w:pStyle w:val="28"/>
        <w:spacing w:line="440" w:lineRule="exact"/>
        <w:ind w:firstLine="480" w:firstLineChars="200"/>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8）标准、规范及有关技术文件；</w:t>
      </w:r>
    </w:p>
    <w:p>
      <w:pPr>
        <w:pStyle w:val="28"/>
        <w:spacing w:line="440" w:lineRule="exact"/>
        <w:ind w:firstLine="480" w:firstLineChars="200"/>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9）与本工程有关的其他文件；</w:t>
      </w:r>
    </w:p>
    <w:p>
      <w:pPr>
        <w:pStyle w:val="28"/>
        <w:spacing w:line="440" w:lineRule="exact"/>
        <w:ind w:firstLine="480" w:firstLineChars="200"/>
        <w:rPr>
          <w:rFonts w:ascii="宋体" w:hAnsi="宋体" w:eastAsia="宋体"/>
          <w:sz w:val="24"/>
        </w:rPr>
      </w:pPr>
      <w:r>
        <w:rPr>
          <w:rFonts w:hint="eastAsia" w:ascii="宋体" w:hAnsi="宋体" w:eastAsia="宋体"/>
          <w:sz w:val="24"/>
          <w:u w:val="single"/>
        </w:rPr>
        <w:t>如承包人在响应文件及其附件（含评标期间的澄清文件和补充资料）中作出有比竞争性磋商文件及其附件、答疑文件、补遗文件和本合同（含合同协议书、专用条款、质量保修书格式、通用条款，下同）更有利于发包人的响应（该是否有利于发包人的解释权双方同意最终归发包人所有），则响应文件及其附件（含评标期间的澄清文件和补充资料）中更有利于发包人的相关条款内容的解释顺序优于竞争性磋商文件及其附件、答疑文件、补遗文件和本合同，承包人须按这些响应承诺履行</w:t>
      </w:r>
      <w:r>
        <w:rPr>
          <w:rFonts w:hint="eastAsia" w:ascii="宋体" w:hAnsi="宋体" w:eastAsia="宋体"/>
          <w:sz w:val="24"/>
        </w:rPr>
        <w:t>。</w:t>
      </w:r>
    </w:p>
    <w:p>
      <w:pPr>
        <w:pStyle w:val="28"/>
        <w:spacing w:line="440" w:lineRule="exact"/>
        <w:ind w:firstLine="480" w:firstLineChars="200"/>
        <w:rPr>
          <w:rFonts w:ascii="宋体" w:hAnsi="宋体" w:eastAsia="宋体"/>
          <w:kern w:val="0"/>
          <w:sz w:val="24"/>
        </w:rPr>
      </w:pPr>
      <w:r>
        <w:rPr>
          <w:rFonts w:ascii="宋体" w:hAnsi="宋体" w:eastAsia="宋体"/>
          <w:kern w:val="0"/>
          <w:sz w:val="24"/>
        </w:rPr>
        <w:t xml:space="preserve">1.6 </w:t>
      </w:r>
      <w:r>
        <w:rPr>
          <w:rFonts w:hint="eastAsia" w:ascii="宋体" w:hAnsi="宋体" w:eastAsia="宋体"/>
          <w:kern w:val="0"/>
          <w:sz w:val="24"/>
        </w:rPr>
        <w:t>图纸和承包人文件</w:t>
      </w:r>
      <w:r>
        <w:rPr>
          <w:rFonts w:ascii="宋体" w:hAnsi="宋体" w:eastAsia="宋体"/>
          <w:kern w:val="0"/>
          <w:sz w:val="24"/>
        </w:rPr>
        <w:tab/>
      </w:r>
    </w:p>
    <w:p>
      <w:pPr>
        <w:pStyle w:val="28"/>
        <w:spacing w:line="440" w:lineRule="exact"/>
        <w:ind w:firstLine="480" w:firstLineChars="200"/>
        <w:rPr>
          <w:rFonts w:ascii="宋体" w:hAnsi="宋体" w:eastAsia="宋体"/>
          <w:sz w:val="24"/>
        </w:rPr>
      </w:pPr>
      <w:r>
        <w:rPr>
          <w:rFonts w:ascii="宋体" w:hAnsi="宋体" w:eastAsia="宋体"/>
          <w:sz w:val="24"/>
        </w:rPr>
        <w:t xml:space="preserve">1.6.1 </w:t>
      </w:r>
      <w:r>
        <w:rPr>
          <w:rFonts w:hint="eastAsia" w:ascii="宋体" w:hAnsi="宋体" w:eastAsia="宋体"/>
          <w:sz w:val="24"/>
        </w:rPr>
        <w:t>图纸的提供</w:t>
      </w:r>
    </w:p>
    <w:p>
      <w:pPr>
        <w:pStyle w:val="28"/>
        <w:spacing w:line="440" w:lineRule="exact"/>
        <w:ind w:firstLine="480" w:firstLineChars="200"/>
        <w:rPr>
          <w:rFonts w:ascii="宋体" w:hAnsi="宋体" w:eastAsia="宋体"/>
          <w:sz w:val="24"/>
        </w:rPr>
      </w:pPr>
      <w:r>
        <w:rPr>
          <w:rFonts w:hint="eastAsia" w:ascii="宋体" w:hAnsi="宋体" w:eastAsia="宋体"/>
          <w:sz w:val="24"/>
        </w:rPr>
        <w:t>发包人向承包人提供图纸的期限：</w:t>
      </w:r>
      <w:r>
        <w:rPr>
          <w:rFonts w:hint="eastAsia" w:ascii="宋体" w:hAnsi="宋体" w:eastAsia="宋体"/>
          <w:sz w:val="24"/>
          <w:u w:val="single"/>
        </w:rPr>
        <w:t>签订合同后</w:t>
      </w:r>
      <w:r>
        <w:rPr>
          <w:rFonts w:ascii="宋体" w:hAnsi="宋体" w:eastAsia="宋体"/>
          <w:sz w:val="24"/>
          <w:u w:val="single"/>
        </w:rPr>
        <w:t>3天内</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发包人向承包人提供图纸的数量：</w:t>
      </w:r>
      <w:r>
        <w:rPr>
          <w:rFonts w:ascii="宋体" w:hAnsi="宋体" w:eastAsia="宋体"/>
          <w:sz w:val="24"/>
          <w:u w:val="single"/>
        </w:rPr>
        <w:t>3份。如需另行增加图纸，需通过发包人向设计院购买（承包人应交晒图成本费用）或自行复制（费用自理）</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发包人向承包人提供图纸的内容：</w:t>
      </w:r>
      <w:r>
        <w:rPr>
          <w:rFonts w:hint="eastAsia" w:ascii="宋体" w:hAnsi="宋体" w:eastAsia="宋体"/>
          <w:sz w:val="24"/>
          <w:u w:val="single"/>
        </w:rPr>
        <w:t>如施工图纸和工程量清单中工程量不对应，应经发包人确认后，乙方按施工图纸进行施工，缺项部分按实计量</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1.6.4 </w:t>
      </w:r>
      <w:r>
        <w:rPr>
          <w:rFonts w:hint="eastAsia" w:ascii="宋体" w:hAnsi="宋体" w:eastAsia="宋体"/>
          <w:sz w:val="24"/>
        </w:rPr>
        <w:t>承包人文件</w:t>
      </w:r>
    </w:p>
    <w:p>
      <w:pPr>
        <w:pStyle w:val="28"/>
        <w:spacing w:line="440" w:lineRule="exact"/>
        <w:ind w:firstLine="480" w:firstLineChars="200"/>
        <w:jc w:val="left"/>
        <w:rPr>
          <w:rFonts w:ascii="宋体" w:hAnsi="宋体" w:eastAsia="宋体"/>
          <w:b/>
          <w:bCs/>
          <w:sz w:val="24"/>
        </w:rPr>
      </w:pPr>
      <w:r>
        <w:rPr>
          <w:rFonts w:hint="eastAsia" w:ascii="宋体" w:hAnsi="宋体" w:eastAsia="宋体"/>
          <w:sz w:val="24"/>
        </w:rPr>
        <w:t>需要由承包人提供的文件，包括：</w:t>
      </w:r>
      <w:r>
        <w:rPr>
          <w:rFonts w:hint="eastAsia" w:ascii="宋体" w:hAnsi="宋体" w:eastAsia="宋体"/>
          <w:b/>
          <w:bCs/>
          <w:sz w:val="24"/>
          <w:u w:val="single"/>
        </w:rPr>
        <w:t>承包人负责竣工资料的整理，必须完善与本工程有关的全过程归档资料（包含前期资料、监理资料等）接收、整理和交接、归档工作，完成后提交发包人完整的资料存档（符合档案资料报送要求）：承包人负责竣工图编制、竣工资料的备案、归档，提供能够全面、正确反映竣工实况的、由承包人加盖竣工专门印章的竣工图纸伍套（含电子文件），及相关竣工资料</w:t>
      </w:r>
      <w:r>
        <w:rPr>
          <w:rFonts w:hint="eastAsia" w:ascii="宋体" w:hAnsi="宋体" w:eastAsia="宋体"/>
          <w:b/>
          <w:bCs/>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承包人提供的文件的期限为：</w:t>
      </w:r>
      <w:r>
        <w:rPr>
          <w:rFonts w:hint="eastAsia" w:ascii="宋体" w:hAnsi="宋体" w:eastAsia="宋体"/>
          <w:sz w:val="24"/>
          <w:u w:val="single"/>
        </w:rPr>
        <w:t>工程竣工验收前提供</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承包人提供的文件的数量为：</w:t>
      </w:r>
      <w:r>
        <w:rPr>
          <w:rFonts w:hint="eastAsia" w:ascii="宋体" w:hAnsi="宋体" w:eastAsia="宋体"/>
          <w:sz w:val="24"/>
          <w:u w:val="single"/>
        </w:rPr>
        <w:t>竣工图纸伍套（含电子文件），及相关竣工资料</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承包人提供的文件的形式为：</w:t>
      </w:r>
      <w:r>
        <w:rPr>
          <w:rFonts w:hint="eastAsia" w:ascii="宋体" w:hAnsi="宋体" w:eastAsia="宋体"/>
          <w:sz w:val="24"/>
          <w:u w:val="single"/>
        </w:rPr>
        <w:t>发包人指定的形式</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发包人审批承包人文件的期限：</w:t>
      </w:r>
      <w:r>
        <w:rPr>
          <w:rFonts w:hint="eastAsia" w:ascii="宋体" w:hAnsi="宋体" w:eastAsia="宋体"/>
          <w:sz w:val="24"/>
          <w:u w:val="single"/>
        </w:rPr>
        <w:t>双方另行确定</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1.6.5 </w:t>
      </w:r>
      <w:r>
        <w:rPr>
          <w:rFonts w:hint="eastAsia" w:ascii="宋体" w:hAnsi="宋体" w:eastAsia="宋体"/>
          <w:sz w:val="24"/>
        </w:rPr>
        <w:t>现场图纸准备</w:t>
      </w:r>
    </w:p>
    <w:p>
      <w:pPr>
        <w:pStyle w:val="28"/>
        <w:spacing w:line="440" w:lineRule="exact"/>
        <w:ind w:firstLine="480" w:firstLineChars="200"/>
        <w:rPr>
          <w:rFonts w:ascii="宋体" w:hAnsi="宋体" w:eastAsia="宋体"/>
          <w:sz w:val="24"/>
        </w:rPr>
      </w:pPr>
      <w:r>
        <w:rPr>
          <w:rFonts w:hint="eastAsia" w:ascii="宋体" w:hAnsi="宋体" w:eastAsia="宋体"/>
          <w:sz w:val="24"/>
        </w:rPr>
        <w:t>关于现场图纸准备的约定：</w:t>
      </w:r>
      <w:r>
        <w:rPr>
          <w:rFonts w:hint="eastAsia" w:ascii="宋体" w:hAnsi="宋体" w:eastAsia="宋体"/>
          <w:sz w:val="24"/>
          <w:u w:val="single"/>
        </w:rPr>
        <w:t>按通用条款执行</w:t>
      </w:r>
      <w:r>
        <w:rPr>
          <w:rFonts w:hint="eastAsia" w:ascii="宋体" w:hAnsi="宋体" w:eastAsia="宋体"/>
          <w:sz w:val="24"/>
        </w:rPr>
        <w:t>。</w:t>
      </w:r>
    </w:p>
    <w:p>
      <w:pPr>
        <w:pStyle w:val="28"/>
        <w:spacing w:line="440" w:lineRule="exact"/>
        <w:ind w:firstLine="480" w:firstLineChars="200"/>
        <w:rPr>
          <w:rFonts w:ascii="宋体" w:hAnsi="宋体" w:eastAsia="宋体"/>
          <w:kern w:val="0"/>
          <w:sz w:val="24"/>
        </w:rPr>
      </w:pPr>
      <w:r>
        <w:rPr>
          <w:rFonts w:ascii="宋体" w:hAnsi="宋体" w:eastAsia="宋体"/>
          <w:kern w:val="0"/>
          <w:sz w:val="24"/>
        </w:rPr>
        <w:t xml:space="preserve">1.7 </w:t>
      </w:r>
      <w:r>
        <w:rPr>
          <w:rFonts w:hint="eastAsia" w:ascii="宋体" w:hAnsi="宋体" w:eastAsia="宋体"/>
          <w:kern w:val="0"/>
          <w:sz w:val="24"/>
        </w:rPr>
        <w:t>联络</w:t>
      </w:r>
    </w:p>
    <w:p>
      <w:pPr>
        <w:pStyle w:val="28"/>
        <w:spacing w:line="440" w:lineRule="exact"/>
        <w:ind w:firstLine="480" w:firstLineChars="200"/>
        <w:rPr>
          <w:rFonts w:ascii="宋体" w:hAnsi="宋体" w:eastAsia="宋体"/>
          <w:kern w:val="0"/>
          <w:sz w:val="24"/>
        </w:rPr>
      </w:pPr>
      <w:r>
        <w:rPr>
          <w:rFonts w:ascii="宋体" w:hAnsi="宋体" w:eastAsia="宋体"/>
          <w:kern w:val="0"/>
          <w:sz w:val="24"/>
        </w:rPr>
        <w:t>1.7.1发包人和承包人应当在</w:t>
      </w:r>
      <w:r>
        <w:rPr>
          <w:rFonts w:ascii="宋体" w:hAnsi="宋体" w:eastAsia="宋体"/>
          <w:sz w:val="24"/>
          <w:u w:val="single"/>
        </w:rPr>
        <w:t xml:space="preserve"> 7 </w:t>
      </w:r>
      <w:r>
        <w:rPr>
          <w:rFonts w:hint="eastAsia" w:ascii="宋体" w:hAnsi="宋体" w:eastAsia="宋体"/>
          <w:kern w:val="0"/>
          <w:sz w:val="24"/>
        </w:rPr>
        <w:t>天内将与合同有关的通知、批准、证明、证书、指示、指令、要求、请求、同意、意见、确定和决定等书面函件送达对方当事人。</w:t>
      </w:r>
    </w:p>
    <w:p>
      <w:pPr>
        <w:pStyle w:val="28"/>
        <w:spacing w:line="440" w:lineRule="exact"/>
        <w:ind w:firstLine="480" w:firstLineChars="200"/>
        <w:rPr>
          <w:rFonts w:ascii="宋体" w:hAnsi="宋体" w:eastAsia="宋体"/>
          <w:kern w:val="0"/>
          <w:sz w:val="24"/>
        </w:rPr>
      </w:pPr>
      <w:r>
        <w:rPr>
          <w:rFonts w:ascii="宋体" w:hAnsi="宋体" w:eastAsia="宋体"/>
          <w:kern w:val="0"/>
          <w:sz w:val="24"/>
        </w:rPr>
        <w:t xml:space="preserve">1.7.2 </w:t>
      </w:r>
      <w:r>
        <w:rPr>
          <w:rFonts w:hint="eastAsia" w:ascii="宋体" w:hAnsi="宋体" w:eastAsia="宋体"/>
          <w:kern w:val="0"/>
          <w:sz w:val="24"/>
        </w:rPr>
        <w:t>发包人接收文件的地点：</w:t>
      </w:r>
      <w:r>
        <w:rPr>
          <w:rFonts w:hint="eastAsia" w:ascii="宋体" w:hAnsi="宋体" w:eastAsia="宋体"/>
          <w:sz w:val="24"/>
          <w:u w:val="single"/>
        </w:rPr>
        <w:t>佛山市三水海江怡乐建设投资有限公司</w:t>
      </w:r>
      <w:r>
        <w:rPr>
          <w:rFonts w:hint="eastAsia" w:ascii="宋体" w:hAnsi="宋体" w:eastAsia="宋体"/>
          <w:kern w:val="0"/>
          <w:sz w:val="24"/>
        </w:rPr>
        <w:t>；</w:t>
      </w:r>
    </w:p>
    <w:p>
      <w:pPr>
        <w:pStyle w:val="28"/>
        <w:spacing w:line="440" w:lineRule="exact"/>
        <w:ind w:firstLine="480" w:firstLineChars="200"/>
        <w:rPr>
          <w:rFonts w:ascii="宋体" w:hAnsi="宋体" w:eastAsia="宋体"/>
          <w:kern w:val="0"/>
          <w:sz w:val="24"/>
        </w:rPr>
      </w:pPr>
      <w:r>
        <w:rPr>
          <w:rFonts w:hint="eastAsia" w:ascii="宋体" w:hAnsi="宋体" w:eastAsia="宋体"/>
          <w:kern w:val="0"/>
          <w:sz w:val="24"/>
        </w:rPr>
        <w:t>发包人指定的接收人为：</w:t>
      </w:r>
      <w:r>
        <w:rPr>
          <w:rFonts w:ascii="宋体" w:hAnsi="宋体" w:eastAsia="宋体"/>
          <w:kern w:val="0"/>
          <w:sz w:val="24"/>
          <w:u w:val="single"/>
        </w:rPr>
        <w:t xml:space="preserve">          </w:t>
      </w:r>
      <w:r>
        <w:rPr>
          <w:rFonts w:hint="eastAsia" w:ascii="宋体" w:hAnsi="宋体" w:eastAsia="宋体"/>
          <w:kern w:val="0"/>
          <w:sz w:val="24"/>
        </w:rPr>
        <w:t>。</w:t>
      </w:r>
    </w:p>
    <w:p>
      <w:pPr>
        <w:pStyle w:val="28"/>
        <w:spacing w:line="440" w:lineRule="exact"/>
        <w:ind w:firstLine="480" w:firstLineChars="200"/>
        <w:rPr>
          <w:rFonts w:ascii="宋体" w:hAnsi="宋体" w:eastAsia="宋体"/>
          <w:kern w:val="0"/>
          <w:sz w:val="24"/>
        </w:rPr>
      </w:pPr>
      <w:r>
        <w:rPr>
          <w:rFonts w:hint="eastAsia" w:ascii="宋体" w:hAnsi="宋体" w:eastAsia="宋体"/>
          <w:kern w:val="0"/>
          <w:sz w:val="24"/>
        </w:rPr>
        <w:t>承包人接收文件的地点：</w:t>
      </w:r>
      <w:r>
        <w:rPr>
          <w:rFonts w:ascii="宋体" w:hAnsi="宋体" w:eastAsia="宋体"/>
          <w:kern w:val="0"/>
          <w:sz w:val="24"/>
          <w:u w:val="single"/>
        </w:rPr>
        <w:t xml:space="preserve">          </w:t>
      </w:r>
      <w:r>
        <w:rPr>
          <w:rFonts w:hint="eastAsia" w:ascii="宋体" w:hAnsi="宋体" w:eastAsia="宋体"/>
          <w:kern w:val="0"/>
          <w:sz w:val="24"/>
        </w:rPr>
        <w:t>；</w:t>
      </w:r>
    </w:p>
    <w:p>
      <w:pPr>
        <w:pStyle w:val="28"/>
        <w:spacing w:line="440" w:lineRule="exact"/>
        <w:ind w:firstLine="480" w:firstLineChars="200"/>
        <w:rPr>
          <w:rFonts w:ascii="宋体" w:hAnsi="宋体" w:eastAsia="宋体"/>
          <w:kern w:val="0"/>
          <w:sz w:val="24"/>
        </w:rPr>
      </w:pPr>
      <w:r>
        <w:rPr>
          <w:rFonts w:hint="eastAsia" w:ascii="宋体" w:hAnsi="宋体" w:eastAsia="宋体"/>
          <w:kern w:val="0"/>
          <w:sz w:val="24"/>
        </w:rPr>
        <w:t>承包人指定的接收人为：</w:t>
      </w:r>
      <w:r>
        <w:rPr>
          <w:rFonts w:ascii="宋体" w:hAnsi="宋体" w:eastAsia="宋体"/>
          <w:kern w:val="0"/>
          <w:sz w:val="24"/>
          <w:u w:val="single"/>
        </w:rPr>
        <w:t xml:space="preserve">          </w:t>
      </w:r>
      <w:r>
        <w:rPr>
          <w:rFonts w:hint="eastAsia" w:ascii="宋体" w:hAnsi="宋体" w:eastAsia="宋体"/>
          <w:kern w:val="0"/>
          <w:sz w:val="24"/>
        </w:rPr>
        <w:t>。</w:t>
      </w:r>
    </w:p>
    <w:p>
      <w:pPr>
        <w:pStyle w:val="28"/>
        <w:spacing w:line="440" w:lineRule="exact"/>
        <w:ind w:firstLine="480" w:firstLineChars="200"/>
        <w:rPr>
          <w:rFonts w:ascii="宋体" w:hAnsi="宋体" w:eastAsia="宋体"/>
          <w:kern w:val="0"/>
          <w:sz w:val="24"/>
        </w:rPr>
      </w:pPr>
      <w:r>
        <w:rPr>
          <w:rFonts w:hint="eastAsia" w:ascii="宋体" w:hAnsi="宋体" w:eastAsia="宋体"/>
          <w:kern w:val="0"/>
          <w:sz w:val="24"/>
        </w:rPr>
        <w:t>监理人接收文件的地点：</w:t>
      </w:r>
      <w:r>
        <w:rPr>
          <w:rFonts w:ascii="宋体" w:hAnsi="宋体" w:eastAsia="宋体"/>
          <w:kern w:val="0"/>
          <w:sz w:val="24"/>
          <w:u w:val="single"/>
        </w:rPr>
        <w:t xml:space="preserve">          </w:t>
      </w:r>
      <w:r>
        <w:rPr>
          <w:rFonts w:hint="eastAsia" w:ascii="宋体" w:hAnsi="宋体" w:eastAsia="宋体"/>
          <w:kern w:val="0"/>
          <w:sz w:val="24"/>
        </w:rPr>
        <w:t>；</w:t>
      </w:r>
    </w:p>
    <w:p>
      <w:pPr>
        <w:pStyle w:val="28"/>
        <w:spacing w:line="440" w:lineRule="exact"/>
        <w:ind w:firstLine="480" w:firstLineChars="200"/>
        <w:rPr>
          <w:rFonts w:ascii="宋体" w:hAnsi="宋体" w:eastAsia="宋体"/>
          <w:kern w:val="0"/>
          <w:sz w:val="24"/>
        </w:rPr>
      </w:pPr>
      <w:r>
        <w:rPr>
          <w:rFonts w:hint="eastAsia" w:ascii="宋体" w:hAnsi="宋体" w:eastAsia="宋体"/>
          <w:kern w:val="0"/>
          <w:sz w:val="24"/>
        </w:rPr>
        <w:t>监理人指定的接收人为：</w:t>
      </w:r>
      <w:r>
        <w:rPr>
          <w:rFonts w:ascii="宋体" w:hAnsi="宋体" w:eastAsia="宋体"/>
          <w:kern w:val="0"/>
          <w:sz w:val="24"/>
          <w:u w:val="single"/>
        </w:rPr>
        <w:t xml:space="preserve">          </w:t>
      </w:r>
      <w:r>
        <w:rPr>
          <w:rFonts w:hint="eastAsia" w:ascii="宋体" w:hAnsi="宋体" w:eastAsia="宋体"/>
          <w:kern w:val="0"/>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1.10 </w:t>
      </w:r>
      <w:r>
        <w:rPr>
          <w:rFonts w:hint="eastAsia" w:ascii="宋体" w:hAnsi="宋体" w:eastAsia="宋体"/>
          <w:sz w:val="24"/>
        </w:rPr>
        <w:t>交通运输</w:t>
      </w:r>
    </w:p>
    <w:p>
      <w:pPr>
        <w:pStyle w:val="28"/>
        <w:spacing w:line="440" w:lineRule="exact"/>
        <w:ind w:firstLine="480" w:firstLineChars="200"/>
        <w:rPr>
          <w:rFonts w:ascii="宋体" w:hAnsi="宋体" w:eastAsia="宋体"/>
          <w:sz w:val="24"/>
        </w:rPr>
      </w:pPr>
      <w:r>
        <w:rPr>
          <w:rFonts w:ascii="宋体" w:hAnsi="宋体" w:eastAsia="宋体"/>
          <w:sz w:val="24"/>
        </w:rPr>
        <w:t xml:space="preserve">1.10.1 </w:t>
      </w:r>
      <w:r>
        <w:rPr>
          <w:rFonts w:hint="eastAsia" w:ascii="宋体" w:hAnsi="宋体" w:eastAsia="宋体"/>
          <w:sz w:val="24"/>
        </w:rPr>
        <w:t>出入现场的权利</w:t>
      </w:r>
    </w:p>
    <w:p>
      <w:pPr>
        <w:pStyle w:val="28"/>
        <w:spacing w:line="440" w:lineRule="exact"/>
        <w:rPr>
          <w:rFonts w:ascii="宋体" w:hAnsi="宋体" w:eastAsia="宋体"/>
          <w:sz w:val="24"/>
        </w:rPr>
      </w:pPr>
      <w:r>
        <w:rPr>
          <w:rFonts w:hint="eastAsia" w:ascii="宋体" w:hAnsi="宋体" w:eastAsia="宋体"/>
          <w:sz w:val="24"/>
        </w:rPr>
        <w:t>关于出入现场的权利的约定：</w:t>
      </w:r>
      <w:r>
        <w:rPr>
          <w:rFonts w:hint="eastAsia" w:ascii="宋体" w:hAnsi="宋体" w:eastAsia="宋体"/>
          <w:sz w:val="24"/>
          <w:u w:val="single"/>
        </w:rPr>
        <w:t>出入施工场地道路按现状。办理出入施工场地的道路通行权由承包人自行负责并承担相关费用。承包人自行办理施工范围外道路通行及公共设施使用的相关手续，服从当地管理部门的管理。承包人在响应前应充分勘察现场，为实施合同工程所需修建的场外设施由承包人负责，费用已包含在合同价款内</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1.10.3 </w:t>
      </w:r>
      <w:r>
        <w:rPr>
          <w:rFonts w:hint="eastAsia" w:ascii="宋体" w:hAnsi="宋体" w:eastAsia="宋体"/>
          <w:sz w:val="24"/>
        </w:rPr>
        <w:t>场内交通</w:t>
      </w:r>
    </w:p>
    <w:p>
      <w:pPr>
        <w:pStyle w:val="28"/>
        <w:widowControl/>
        <w:spacing w:line="440" w:lineRule="exact"/>
        <w:ind w:firstLine="480"/>
        <w:jc w:val="left"/>
        <w:rPr>
          <w:rFonts w:ascii="宋体" w:hAnsi="宋体" w:eastAsia="宋体"/>
          <w:kern w:val="0"/>
          <w:sz w:val="24"/>
        </w:rPr>
      </w:pPr>
      <w:r>
        <w:rPr>
          <w:rFonts w:hint="eastAsia" w:ascii="宋体" w:hAnsi="宋体" w:eastAsia="宋体"/>
          <w:kern w:val="0"/>
          <w:sz w:val="24"/>
        </w:rPr>
        <w:t>关于场外交通和场内交通的边界的约定：</w:t>
      </w:r>
      <w:r>
        <w:rPr>
          <w:rFonts w:hint="eastAsia" w:ascii="宋体" w:hAnsi="宋体" w:eastAsia="宋体"/>
          <w:sz w:val="24"/>
          <w:u w:val="single"/>
        </w:rPr>
        <w:t>施工临时用地总平面图范围内的属于场内交通。</w:t>
      </w:r>
      <w:r>
        <w:rPr>
          <w:rFonts w:hint="eastAsia" w:ascii="宋体" w:hAnsi="宋体" w:eastAsia="宋体"/>
          <w:spacing w:val="1"/>
          <w:sz w:val="24"/>
          <w:u w:val="single"/>
        </w:rPr>
        <w:t>施工范</w:t>
      </w:r>
      <w:r>
        <w:rPr>
          <w:rFonts w:hint="eastAsia" w:ascii="宋体" w:hAnsi="宋体" w:eastAsia="宋体"/>
          <w:spacing w:val="3"/>
          <w:sz w:val="24"/>
          <w:u w:val="single"/>
        </w:rPr>
        <w:t>围</w:t>
      </w:r>
      <w:r>
        <w:rPr>
          <w:rFonts w:hint="eastAsia" w:ascii="宋体" w:hAnsi="宋体" w:eastAsia="宋体"/>
          <w:spacing w:val="2"/>
          <w:sz w:val="24"/>
          <w:u w:val="single"/>
        </w:rPr>
        <w:t>外的公共道路按现状，承包人</w:t>
      </w:r>
      <w:r>
        <w:rPr>
          <w:rFonts w:hint="eastAsia" w:ascii="宋体" w:hAnsi="宋体" w:eastAsia="宋体"/>
          <w:sz w:val="24"/>
          <w:u w:val="single"/>
        </w:rPr>
        <w:t>自行办理施工范围外道路通行</w:t>
      </w:r>
      <w:r>
        <w:rPr>
          <w:rFonts w:hint="eastAsia" w:ascii="宋体" w:hAnsi="宋体" w:eastAsia="宋体"/>
          <w:spacing w:val="-4"/>
          <w:sz w:val="24"/>
          <w:u w:val="single"/>
        </w:rPr>
        <w:t>、</w:t>
      </w:r>
      <w:r>
        <w:rPr>
          <w:rFonts w:hint="eastAsia" w:ascii="宋体" w:hAnsi="宋体" w:eastAsia="宋体"/>
          <w:sz w:val="24"/>
          <w:u w:val="single"/>
        </w:rPr>
        <w:t>修建场外设施及公共设施使用的相关手续</w:t>
      </w:r>
      <w:r>
        <w:rPr>
          <w:rFonts w:hint="eastAsia" w:ascii="宋体" w:hAnsi="宋体" w:eastAsia="宋体"/>
          <w:spacing w:val="-2"/>
          <w:sz w:val="24"/>
          <w:u w:val="single"/>
        </w:rPr>
        <w:t>，</w:t>
      </w:r>
      <w:r>
        <w:rPr>
          <w:rFonts w:hint="eastAsia" w:ascii="宋体" w:hAnsi="宋体" w:eastAsia="宋体"/>
          <w:sz w:val="24"/>
          <w:u w:val="single"/>
        </w:rPr>
        <w:t>服从当地管理部门的管理，费用由承包人自行考虑和负责，已包含在合同价款内</w:t>
      </w:r>
      <w:r>
        <w:rPr>
          <w:rFonts w:hint="eastAsia" w:ascii="宋体" w:hAnsi="宋体" w:eastAsia="宋体"/>
          <w:kern w:val="0"/>
          <w:sz w:val="24"/>
          <w:u w:val="single"/>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关于发包人向承包人免费提供满足工程施工需要的场内道路和交通设施的约定：</w:t>
      </w:r>
      <w:r>
        <w:rPr>
          <w:rFonts w:hint="eastAsia" w:ascii="宋体" w:hAnsi="宋体" w:eastAsia="宋体"/>
          <w:sz w:val="24"/>
          <w:u w:val="single"/>
        </w:rPr>
        <w:t>施工范围内的公共道路按现状，施工临时道路和交通设施由承包人自行考虑和负责，费用已包在本工程合同总价中</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1.10.4超大件和超重件的运输</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运输超大件或超重件所需的道路和桥梁临时加固改造费用和其他有关费用由</w:t>
      </w:r>
      <w:r>
        <w:rPr>
          <w:rFonts w:hint="eastAsia" w:ascii="宋体" w:hAnsi="宋体" w:eastAsia="宋体"/>
          <w:sz w:val="24"/>
          <w:u w:val="single"/>
        </w:rPr>
        <w:t>承包人承担，承包人接受当地交通管理、城市管理部门管理并自行办理相关手续和承担相关费用</w:t>
      </w:r>
      <w:r>
        <w:rPr>
          <w:rFonts w:hint="eastAsia" w:ascii="宋体" w:hAnsi="宋体" w:eastAsia="宋体"/>
          <w:sz w:val="24"/>
        </w:rPr>
        <w:t>承担。</w:t>
      </w:r>
    </w:p>
    <w:p>
      <w:pPr>
        <w:pStyle w:val="28"/>
        <w:spacing w:line="440" w:lineRule="exact"/>
        <w:ind w:firstLine="480" w:firstLineChars="200"/>
        <w:rPr>
          <w:rFonts w:ascii="宋体" w:hAnsi="宋体" w:eastAsia="宋体"/>
          <w:sz w:val="24"/>
        </w:rPr>
      </w:pPr>
      <w:r>
        <w:rPr>
          <w:rFonts w:ascii="宋体" w:hAnsi="宋体" w:eastAsia="宋体"/>
          <w:sz w:val="24"/>
        </w:rPr>
        <w:t xml:space="preserve">1.11 </w:t>
      </w:r>
      <w:r>
        <w:rPr>
          <w:rFonts w:hint="eastAsia" w:ascii="宋体" w:hAnsi="宋体" w:eastAsia="宋体"/>
          <w:sz w:val="24"/>
        </w:rPr>
        <w:t>知识产权</w:t>
      </w:r>
    </w:p>
    <w:p>
      <w:pPr>
        <w:pStyle w:val="28"/>
        <w:spacing w:line="440" w:lineRule="exact"/>
        <w:ind w:firstLine="480" w:firstLineChars="200"/>
        <w:rPr>
          <w:rFonts w:ascii="宋体" w:hAnsi="宋体" w:eastAsia="宋体"/>
          <w:sz w:val="24"/>
        </w:rPr>
      </w:pPr>
      <w:r>
        <w:rPr>
          <w:rFonts w:ascii="宋体" w:hAnsi="宋体" w:eastAsia="宋体"/>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sz w:val="24"/>
          <w:u w:val="single"/>
        </w:rPr>
        <w:t>承包人可以为实现合同目的而复制、使用此类文件，但不能用于与合同无关的其他事项</w:t>
      </w:r>
      <w:r>
        <w:rPr>
          <w:rFonts w:hint="eastAsia" w:ascii="宋体" w:hAnsi="宋体" w:eastAsia="宋体"/>
          <w:sz w:val="24"/>
        </w:rPr>
        <w:t>。</w:t>
      </w:r>
    </w:p>
    <w:p>
      <w:pPr>
        <w:pStyle w:val="28"/>
        <w:spacing w:line="440" w:lineRule="exact"/>
        <w:rPr>
          <w:rFonts w:ascii="宋体" w:hAnsi="宋体" w:eastAsia="宋体"/>
          <w:sz w:val="24"/>
        </w:rPr>
      </w:pPr>
      <w:r>
        <w:rPr>
          <w:rFonts w:hint="eastAsia" w:ascii="宋体" w:hAnsi="宋体" w:eastAsia="宋体"/>
          <w:sz w:val="24"/>
        </w:rPr>
        <w:t>关于发包人提供的上述文件的使用限制的要求：</w:t>
      </w:r>
      <w:r>
        <w:rPr>
          <w:rFonts w:hint="eastAsia" w:ascii="宋体" w:hAnsi="宋体" w:eastAsia="宋体"/>
          <w:sz w:val="24"/>
          <w:u w:val="single"/>
        </w:rPr>
        <w:t>未经发包人书面同意，承包人不得为了合同以外的目的而复制、使用上述文件或将之提供给任何第三方</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1.11.2 </w:t>
      </w:r>
      <w:r>
        <w:rPr>
          <w:rFonts w:hint="eastAsia" w:ascii="宋体" w:hAnsi="宋体" w:eastAsia="宋体"/>
          <w:sz w:val="24"/>
        </w:rPr>
        <w:t>关于承包人为实施工程所编制文件的著作权的归属：：</w:t>
      </w:r>
      <w:r>
        <w:rPr>
          <w:rFonts w:hint="eastAsia" w:ascii="宋体" w:hAnsi="宋体" w:eastAsia="宋体"/>
          <w:sz w:val="24"/>
          <w:u w:val="single"/>
        </w:rPr>
        <w:t>除署名权以外的著作权属于发包人</w:t>
      </w:r>
      <w:r>
        <w:rPr>
          <w:rFonts w:hint="eastAsia" w:ascii="宋体" w:hAnsi="宋体" w:eastAsia="宋体"/>
          <w:sz w:val="24"/>
        </w:rPr>
        <w:t>。</w:t>
      </w:r>
    </w:p>
    <w:p>
      <w:pPr>
        <w:pStyle w:val="28"/>
        <w:spacing w:line="440" w:lineRule="exact"/>
        <w:rPr>
          <w:rFonts w:ascii="宋体" w:hAnsi="宋体" w:eastAsia="宋体"/>
          <w:sz w:val="24"/>
        </w:rPr>
      </w:pPr>
      <w:r>
        <w:rPr>
          <w:rFonts w:hint="eastAsia" w:ascii="宋体" w:hAnsi="宋体" w:eastAsia="宋体"/>
          <w:sz w:val="24"/>
        </w:rPr>
        <w:t>关于承包人提供的上述文件的使用限制的要求：</w:t>
      </w:r>
      <w:r>
        <w:rPr>
          <w:rFonts w:hint="eastAsia" w:ascii="宋体" w:hAnsi="宋体" w:eastAsia="宋体"/>
          <w:sz w:val="24"/>
          <w:u w:val="single"/>
        </w:rPr>
        <w:t>按通用条款执行</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1.11.4 </w:t>
      </w:r>
      <w:r>
        <w:rPr>
          <w:rFonts w:hint="eastAsia" w:ascii="宋体" w:hAnsi="宋体" w:eastAsia="宋体"/>
          <w:sz w:val="24"/>
        </w:rPr>
        <w:t>承包人在施工过程中所采用的专利、专有技术、技术秘密的使用费的承担方式：</w:t>
      </w:r>
      <w:r>
        <w:rPr>
          <w:rFonts w:hint="eastAsia" w:ascii="宋体" w:hAnsi="宋体" w:eastAsia="宋体"/>
          <w:sz w:val="24"/>
          <w:u w:val="single"/>
        </w:rPr>
        <w:t>已包含在签约合同价中，由承包人承担</w:t>
      </w:r>
      <w:r>
        <w:rPr>
          <w:rFonts w:hint="eastAsia" w:ascii="宋体" w:hAnsi="宋体" w:eastAsia="宋体"/>
          <w:sz w:val="24"/>
        </w:rPr>
        <w:t>。</w:t>
      </w:r>
    </w:p>
    <w:p>
      <w:pPr>
        <w:pStyle w:val="28"/>
        <w:spacing w:line="360" w:lineRule="auto"/>
        <w:ind w:firstLine="480" w:firstLineChars="200"/>
        <w:rPr>
          <w:rFonts w:ascii="宋体" w:hAnsi="宋体" w:eastAsia="宋体"/>
          <w:sz w:val="24"/>
        </w:rPr>
      </w:pPr>
      <w:r>
        <w:rPr>
          <w:rFonts w:ascii="宋体" w:hAnsi="宋体" w:eastAsia="宋体"/>
          <w:sz w:val="24"/>
        </w:rPr>
        <w:t>1.13工程量清单错误的修正</w:t>
      </w:r>
    </w:p>
    <w:p>
      <w:pPr>
        <w:pStyle w:val="28"/>
        <w:widowControl/>
        <w:spacing w:line="360" w:lineRule="auto"/>
        <w:ind w:firstLine="480"/>
        <w:rPr>
          <w:rFonts w:ascii="宋体" w:hAnsi="宋体" w:eastAsia="宋体"/>
          <w:b/>
          <w:bCs/>
          <w:sz w:val="24"/>
        </w:rPr>
      </w:pPr>
      <w:r>
        <w:rPr>
          <w:rFonts w:hint="eastAsia" w:ascii="宋体" w:hAnsi="宋体" w:eastAsia="宋体"/>
          <w:b/>
          <w:bCs/>
          <w:sz w:val="24"/>
        </w:rPr>
        <w:t>工程量清单出现下列情形之一时</w:t>
      </w:r>
      <w:r>
        <w:rPr>
          <w:rFonts w:ascii="宋体" w:hAnsi="宋体" w:eastAsia="宋体"/>
          <w:b/>
          <w:bCs/>
          <w:sz w:val="24"/>
        </w:rPr>
        <w:t>,发包人应予以修正，并相应调整合同价格:</w:t>
      </w:r>
    </w:p>
    <w:p>
      <w:pPr>
        <w:pStyle w:val="28"/>
        <w:widowControl/>
        <w:spacing w:line="360" w:lineRule="auto"/>
        <w:ind w:firstLine="480"/>
        <w:rPr>
          <w:rFonts w:ascii="宋体" w:hAnsi="宋体" w:eastAsia="宋体"/>
          <w:b/>
          <w:bCs/>
          <w:sz w:val="24"/>
        </w:rPr>
      </w:pPr>
      <w:r>
        <w:rPr>
          <w:rFonts w:hint="eastAsia" w:ascii="宋体" w:hAnsi="宋体" w:eastAsia="宋体"/>
          <w:b/>
          <w:bCs/>
          <w:sz w:val="24"/>
        </w:rPr>
        <w:t>（</w:t>
      </w:r>
      <w:r>
        <w:rPr>
          <w:rFonts w:ascii="宋体" w:hAnsi="宋体" w:eastAsia="宋体"/>
          <w:b/>
          <w:bCs/>
          <w:sz w:val="24"/>
        </w:rPr>
        <w:t>1）工程量清单存在偏差、缺项、漏项的；</w:t>
      </w:r>
    </w:p>
    <w:p>
      <w:pPr>
        <w:pStyle w:val="28"/>
        <w:widowControl/>
        <w:spacing w:line="360" w:lineRule="auto"/>
        <w:ind w:firstLine="480"/>
        <w:rPr>
          <w:rFonts w:ascii="宋体" w:hAnsi="宋体" w:eastAsia="宋体"/>
          <w:b/>
          <w:bCs/>
          <w:sz w:val="24"/>
        </w:rPr>
      </w:pPr>
      <w:r>
        <w:rPr>
          <w:rFonts w:hint="eastAsia" w:ascii="宋体" w:hAnsi="宋体" w:eastAsia="宋体"/>
          <w:b/>
          <w:bCs/>
          <w:sz w:val="24"/>
        </w:rPr>
        <w:t>（</w:t>
      </w:r>
      <w:r>
        <w:rPr>
          <w:rFonts w:ascii="宋体" w:hAnsi="宋体" w:eastAsia="宋体"/>
          <w:b/>
          <w:bCs/>
          <w:sz w:val="24"/>
        </w:rPr>
        <w:t>2）未按照国家现行计量规范强制性规定计量的。</w:t>
      </w:r>
    </w:p>
    <w:p>
      <w:pPr>
        <w:pStyle w:val="28"/>
        <w:spacing w:line="360" w:lineRule="auto"/>
        <w:ind w:firstLine="482" w:firstLineChars="200"/>
        <w:rPr>
          <w:rFonts w:ascii="宋体" w:hAnsi="宋体" w:eastAsia="宋体"/>
          <w:kern w:val="28"/>
          <w:szCs w:val="32"/>
        </w:rPr>
      </w:pPr>
      <w:r>
        <w:rPr>
          <w:rFonts w:hint="eastAsia" w:ascii="宋体" w:hAnsi="宋体" w:eastAsia="宋体"/>
          <w:b/>
          <w:bCs/>
          <w:kern w:val="0"/>
          <w:sz w:val="24"/>
          <w:szCs w:val="32"/>
          <w:u w:val="single"/>
        </w:rPr>
        <w:t>结算时按承包人实际完成的工程量（须经发包人和监理工程师确认的竣工图纸、设计变更、现场签证等）为依据。本工程的结算价最终以相关部门审定为准。</w:t>
      </w:r>
    </w:p>
    <w:p>
      <w:pPr>
        <w:pStyle w:val="28"/>
        <w:spacing w:line="360" w:lineRule="auto"/>
        <w:ind w:firstLine="482" w:firstLineChars="200"/>
        <w:rPr>
          <w:rFonts w:ascii="宋体" w:hAnsi="宋体" w:eastAsia="宋体"/>
          <w:sz w:val="24"/>
        </w:rPr>
      </w:pPr>
      <w:r>
        <w:rPr>
          <w:rFonts w:hint="eastAsia" w:ascii="宋体" w:hAnsi="宋体" w:eastAsia="宋体"/>
          <w:b/>
          <w:bCs/>
          <w:sz w:val="24"/>
        </w:rPr>
        <w:t>工程变更按政府相关工程变更管理办法办理相关手续，作为结算与验收的依据。工程变更增加的款项在办理完变更程序并经审定后与进度款同期支付，支付的额度比例为审定金额的</w:t>
      </w:r>
      <w:r>
        <w:rPr>
          <w:rFonts w:ascii="宋体" w:hAnsi="宋体" w:eastAsia="宋体"/>
          <w:b/>
          <w:bCs/>
          <w:sz w:val="24"/>
        </w:rPr>
        <w:t>70%，余下款项在工程竣工验收合格并经结算审定后再行支付。工程量偏差、清单缺项、漏项的按变更工程处理。</w:t>
      </w:r>
    </w:p>
    <w:p>
      <w:pPr>
        <w:pStyle w:val="28"/>
        <w:spacing w:line="440" w:lineRule="exact"/>
        <w:ind w:firstLine="480" w:firstLineChars="200"/>
        <w:outlineLvl w:val="1"/>
        <w:rPr>
          <w:rFonts w:ascii="宋体" w:hAnsi="宋体" w:eastAsia="宋体"/>
          <w:sz w:val="24"/>
        </w:rPr>
      </w:pPr>
      <w:bookmarkStart w:id="242" w:name="_Toc12780"/>
      <w:r>
        <w:rPr>
          <w:rFonts w:ascii="宋体" w:hAnsi="宋体" w:eastAsia="宋体"/>
          <w:sz w:val="24"/>
        </w:rPr>
        <w:t xml:space="preserve">2. </w:t>
      </w:r>
      <w:r>
        <w:rPr>
          <w:rFonts w:hint="eastAsia" w:ascii="宋体" w:hAnsi="宋体" w:eastAsia="宋体"/>
          <w:sz w:val="24"/>
        </w:rPr>
        <w:t>发包人</w:t>
      </w:r>
      <w:bookmarkEnd w:id="242"/>
    </w:p>
    <w:p>
      <w:pPr>
        <w:pStyle w:val="28"/>
        <w:spacing w:line="440" w:lineRule="exact"/>
        <w:ind w:firstLine="480" w:firstLineChars="200"/>
        <w:rPr>
          <w:rFonts w:ascii="宋体" w:hAnsi="宋体" w:eastAsia="宋体"/>
          <w:sz w:val="24"/>
        </w:rPr>
      </w:pPr>
      <w:r>
        <w:rPr>
          <w:rFonts w:ascii="宋体" w:hAnsi="宋体" w:eastAsia="宋体"/>
          <w:sz w:val="24"/>
        </w:rPr>
        <w:t xml:space="preserve">2.2 </w:t>
      </w:r>
      <w:r>
        <w:rPr>
          <w:rFonts w:hint="eastAsia" w:ascii="宋体" w:hAnsi="宋体" w:eastAsia="宋体"/>
          <w:sz w:val="24"/>
        </w:rPr>
        <w:t>发包人代表</w:t>
      </w:r>
    </w:p>
    <w:p>
      <w:pPr>
        <w:pStyle w:val="28"/>
        <w:spacing w:line="440" w:lineRule="exact"/>
        <w:ind w:firstLine="480" w:firstLineChars="200"/>
        <w:rPr>
          <w:rFonts w:ascii="宋体" w:hAnsi="宋体" w:eastAsia="宋体"/>
          <w:sz w:val="24"/>
        </w:rPr>
      </w:pPr>
      <w:r>
        <w:rPr>
          <w:rFonts w:hint="eastAsia" w:ascii="宋体" w:hAnsi="宋体" w:eastAsia="宋体"/>
          <w:sz w:val="24"/>
        </w:rPr>
        <w:t>发包人代表：</w:t>
      </w:r>
    </w:p>
    <w:p>
      <w:pPr>
        <w:pStyle w:val="28"/>
        <w:spacing w:line="440" w:lineRule="exact"/>
        <w:ind w:firstLine="480" w:firstLineChars="200"/>
        <w:rPr>
          <w:rFonts w:ascii="宋体" w:hAnsi="宋体" w:eastAsia="宋体"/>
          <w:sz w:val="24"/>
        </w:rPr>
      </w:pPr>
      <w:r>
        <w:rPr>
          <w:rFonts w:hint="eastAsia" w:ascii="宋体" w:hAnsi="宋体" w:eastAsia="宋体"/>
          <w:sz w:val="24"/>
        </w:rPr>
        <w:t>姓</w:t>
      </w:r>
      <w:r>
        <w:rPr>
          <w:rFonts w:ascii="宋体" w:hAnsi="宋体" w:eastAsia="宋体"/>
          <w:sz w:val="24"/>
        </w:rPr>
        <w:t xml:space="preserve">    </w:t>
      </w:r>
      <w:r>
        <w:rPr>
          <w:rFonts w:hint="eastAsia" w:ascii="宋体" w:hAnsi="宋体" w:eastAsia="宋体"/>
          <w:sz w:val="24"/>
        </w:rPr>
        <w:t>名：</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身份证号：</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职</w:t>
      </w:r>
      <w:r>
        <w:rPr>
          <w:rFonts w:ascii="宋体" w:hAnsi="宋体" w:eastAsia="宋体"/>
          <w:sz w:val="24"/>
        </w:rPr>
        <w:t xml:space="preserve">    </w:t>
      </w:r>
      <w:r>
        <w:rPr>
          <w:rFonts w:hint="eastAsia" w:ascii="宋体" w:hAnsi="宋体" w:eastAsia="宋体"/>
          <w:sz w:val="24"/>
        </w:rPr>
        <w:t>务：</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联系电话：</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电子信箱：</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通信地址：</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rPr>
          <w:rFonts w:ascii="宋体" w:hAnsi="宋体" w:eastAsia="宋体"/>
          <w:b/>
          <w:sz w:val="24"/>
        </w:rPr>
      </w:pPr>
      <w:r>
        <w:rPr>
          <w:rFonts w:hint="eastAsia" w:ascii="宋体" w:hAnsi="宋体" w:eastAsia="宋体"/>
          <w:sz w:val="24"/>
        </w:rPr>
        <w:t>发包人对发包人代表的授权范围如下：</w:t>
      </w:r>
      <w:r>
        <w:rPr>
          <w:rFonts w:hint="eastAsia" w:ascii="宋体" w:hAnsi="宋体" w:eastAsia="宋体"/>
          <w:sz w:val="24"/>
          <w:u w:val="single"/>
        </w:rPr>
        <w:t>督促指导监理工程师行使职权，协调施工现场各方面的关系，协调工程质量，进度和安全文明施工中存在的问题，解决有关设计和技术签证，办理、签认现场经济技术签证，审核工程进度报表等</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2.4 </w:t>
      </w:r>
      <w:r>
        <w:rPr>
          <w:rFonts w:hint="eastAsia" w:ascii="宋体" w:hAnsi="宋体" w:eastAsia="宋体"/>
          <w:sz w:val="24"/>
        </w:rPr>
        <w:t>施工现场、施工条件和基础资料的提供</w:t>
      </w:r>
    </w:p>
    <w:p>
      <w:pPr>
        <w:pStyle w:val="28"/>
        <w:spacing w:line="440" w:lineRule="exact"/>
        <w:ind w:firstLine="480" w:firstLineChars="200"/>
        <w:rPr>
          <w:rFonts w:ascii="宋体" w:hAnsi="宋体" w:eastAsia="宋体"/>
          <w:sz w:val="24"/>
        </w:rPr>
      </w:pPr>
      <w:r>
        <w:rPr>
          <w:rFonts w:ascii="宋体" w:hAnsi="宋体" w:eastAsia="宋体"/>
          <w:sz w:val="24"/>
        </w:rPr>
        <w:t xml:space="preserve">2.4.1 </w:t>
      </w:r>
      <w:r>
        <w:rPr>
          <w:rFonts w:hint="eastAsia" w:ascii="宋体" w:hAnsi="宋体" w:eastAsia="宋体"/>
          <w:sz w:val="24"/>
        </w:rPr>
        <w:t>提供施工现场</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关于发包人移交施工现场的期限要求：</w:t>
      </w:r>
      <w:r>
        <w:rPr>
          <w:rFonts w:hint="eastAsia" w:ascii="宋体" w:hAnsi="宋体" w:eastAsia="宋体"/>
          <w:sz w:val="24"/>
          <w:u w:val="single"/>
        </w:rPr>
        <w:t>发包人应最迟于开工日期</w:t>
      </w:r>
      <w:r>
        <w:rPr>
          <w:rFonts w:ascii="宋体" w:hAnsi="宋体" w:eastAsia="宋体"/>
          <w:sz w:val="24"/>
          <w:u w:val="single"/>
        </w:rPr>
        <w:t>7天前向承包人移交施工现场</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2.4.2 </w:t>
      </w:r>
      <w:r>
        <w:rPr>
          <w:rFonts w:hint="eastAsia" w:ascii="宋体" w:hAnsi="宋体" w:eastAsia="宋体"/>
          <w:sz w:val="24"/>
        </w:rPr>
        <w:t>提供施工条件</w:t>
      </w:r>
    </w:p>
    <w:p>
      <w:pPr>
        <w:pStyle w:val="28"/>
        <w:spacing w:line="440" w:lineRule="exact"/>
        <w:ind w:firstLine="480" w:firstLineChars="200"/>
        <w:rPr>
          <w:rFonts w:ascii="宋体" w:hAnsi="宋体" w:eastAsia="宋体"/>
          <w:sz w:val="24"/>
        </w:rPr>
      </w:pPr>
      <w:r>
        <w:rPr>
          <w:rFonts w:ascii="宋体" w:hAnsi="宋体" w:eastAsia="宋体"/>
          <w:sz w:val="24"/>
        </w:rPr>
        <w:t>(1)办理土地征用、拆迁工作、平整工作场地等工作，使施工场地具备施工条件的时间：</w:t>
      </w:r>
      <w:r>
        <w:rPr>
          <w:rFonts w:hint="eastAsia" w:ascii="宋体" w:hAnsi="宋体" w:eastAsia="宋体"/>
          <w:sz w:val="24"/>
          <w:u w:val="single"/>
        </w:rPr>
        <w:t>发包人只提供施工方案设计图纸中明示的工程红线范围以内的用地，若需要其他临时施工用地，则由承包人自行解决并承担其费用。施工用地交接后，其管理工作即由承包人负责。承包人应特别注意其中地上、地下设备、管线的保护工作，遭损坏、盗窃需赔偿。场地平整以及清理场地障碍物等均由承包人根据自行解决，并承担一切相关费用。</w:t>
      </w:r>
    </w:p>
    <w:p>
      <w:pPr>
        <w:pStyle w:val="28"/>
        <w:spacing w:line="440" w:lineRule="exact"/>
        <w:ind w:firstLine="482" w:firstLineChars="200"/>
        <w:rPr>
          <w:rFonts w:ascii="宋体" w:hAnsi="宋体" w:eastAsia="宋体"/>
          <w:b/>
          <w:bCs/>
          <w:sz w:val="24"/>
        </w:rPr>
      </w:pPr>
      <w:r>
        <w:rPr>
          <w:rFonts w:ascii="宋体" w:hAnsi="宋体" w:eastAsia="宋体"/>
          <w:b/>
          <w:bCs/>
          <w:sz w:val="24"/>
        </w:rPr>
        <w:t>(2)完成施工所需水、电、通讯线路接驳的时间及地点：</w:t>
      </w:r>
      <w:r>
        <w:rPr>
          <w:rFonts w:hint="eastAsia" w:ascii="宋体" w:hAnsi="宋体" w:eastAsia="宋体"/>
          <w:b/>
          <w:bCs/>
          <w:sz w:val="24"/>
          <w:u w:val="single"/>
        </w:rPr>
        <w:t>施工用水、施工用电由承包人自行解决。施工用水、用电安全必须符合相关规定。</w:t>
      </w:r>
    </w:p>
    <w:p>
      <w:pPr>
        <w:pStyle w:val="28"/>
        <w:spacing w:line="440" w:lineRule="exact"/>
        <w:ind w:firstLine="480" w:firstLineChars="200"/>
        <w:rPr>
          <w:rFonts w:ascii="宋体" w:hAnsi="宋体" w:eastAsia="宋体"/>
          <w:sz w:val="24"/>
        </w:rPr>
      </w:pPr>
      <w:r>
        <w:rPr>
          <w:rFonts w:ascii="宋体" w:hAnsi="宋体" w:eastAsia="宋体"/>
          <w:sz w:val="24"/>
        </w:rPr>
        <w:t>(3)开通施工现场与城乡道路间的通道的时间：</w:t>
      </w:r>
      <w:r>
        <w:rPr>
          <w:rFonts w:hint="eastAsia" w:ascii="宋体" w:hAnsi="宋体" w:eastAsia="宋体"/>
          <w:sz w:val="24"/>
          <w:u w:val="single"/>
        </w:rPr>
        <w:t>施工范围外的道路按现状，施工过程中若由于承包人原因导致现状道路损坏，承包人须承担全部责任，施工临时道路以及场地（除清单内容外）由承包人自行考虑和负责，费用已包在本工程合同总价中。</w:t>
      </w:r>
    </w:p>
    <w:p>
      <w:pPr>
        <w:pStyle w:val="28"/>
        <w:spacing w:line="440" w:lineRule="exact"/>
        <w:ind w:firstLine="480" w:firstLineChars="200"/>
        <w:rPr>
          <w:rFonts w:ascii="宋体" w:hAnsi="宋体" w:eastAsia="宋体"/>
          <w:sz w:val="24"/>
        </w:rPr>
      </w:pPr>
      <w:r>
        <w:rPr>
          <w:rFonts w:ascii="宋体" w:hAnsi="宋体" w:eastAsia="宋体"/>
          <w:sz w:val="24"/>
        </w:rPr>
        <w:t>(4)提供施工所需的有关资料的时间：</w:t>
      </w:r>
      <w:r>
        <w:rPr>
          <w:rFonts w:hint="eastAsia" w:ascii="宋体" w:hAnsi="宋体" w:eastAsia="宋体"/>
          <w:sz w:val="24"/>
          <w:u w:val="single"/>
        </w:rPr>
        <w:t>开工前</w:t>
      </w:r>
      <w:r>
        <w:rPr>
          <w:rFonts w:ascii="宋体" w:hAnsi="宋体" w:eastAsia="宋体"/>
          <w:sz w:val="24"/>
          <w:u w:val="single"/>
        </w:rPr>
        <w:t>5天。</w:t>
      </w:r>
    </w:p>
    <w:p>
      <w:pPr>
        <w:pStyle w:val="28"/>
        <w:spacing w:line="440" w:lineRule="exact"/>
        <w:ind w:firstLine="480" w:firstLineChars="200"/>
        <w:rPr>
          <w:rFonts w:ascii="宋体" w:hAnsi="宋体" w:eastAsia="宋体"/>
          <w:sz w:val="24"/>
          <w:u w:val="single"/>
        </w:rPr>
      </w:pPr>
      <w:r>
        <w:rPr>
          <w:rFonts w:ascii="宋体" w:hAnsi="宋体" w:eastAsia="宋体"/>
          <w:sz w:val="24"/>
        </w:rPr>
        <w:t>(5)办理施工所需的有关证件和批准手续的时间：</w:t>
      </w:r>
      <w:r>
        <w:rPr>
          <w:rFonts w:hint="eastAsia" w:ascii="宋体" w:hAnsi="宋体" w:eastAsia="宋体"/>
          <w:sz w:val="24"/>
          <w:u w:val="single"/>
        </w:rPr>
        <w:t>发包人委托承包人办理有关手续，除另有约定外，承包人发包人各自承担相关费用，因承包人责任造成的罚款由承包人自行负责。</w:t>
      </w:r>
    </w:p>
    <w:p>
      <w:pPr>
        <w:pStyle w:val="28"/>
        <w:spacing w:line="440" w:lineRule="exact"/>
        <w:ind w:firstLine="480" w:firstLineChars="200"/>
        <w:rPr>
          <w:rFonts w:ascii="宋体" w:hAnsi="宋体" w:eastAsia="宋体"/>
          <w:sz w:val="24"/>
          <w:u w:val="single"/>
        </w:rPr>
      </w:pPr>
      <w:r>
        <w:rPr>
          <w:rFonts w:ascii="宋体" w:hAnsi="宋体" w:eastAsia="宋体"/>
          <w:sz w:val="24"/>
        </w:rPr>
        <w:t>(6)现场交验的时间：</w:t>
      </w:r>
      <w:r>
        <w:rPr>
          <w:rFonts w:hint="eastAsia" w:ascii="宋体" w:hAnsi="宋体" w:eastAsia="宋体"/>
          <w:sz w:val="24"/>
          <w:u w:val="single"/>
        </w:rPr>
        <w:t>开工前</w:t>
      </w:r>
      <w:r>
        <w:rPr>
          <w:rFonts w:ascii="宋体" w:hAnsi="宋体" w:eastAsia="宋体"/>
          <w:sz w:val="24"/>
          <w:u w:val="single"/>
        </w:rPr>
        <w:t>3天。</w:t>
      </w:r>
    </w:p>
    <w:p>
      <w:pPr>
        <w:pStyle w:val="28"/>
        <w:spacing w:line="440" w:lineRule="exact"/>
        <w:ind w:firstLine="480" w:firstLineChars="200"/>
        <w:rPr>
          <w:rFonts w:ascii="宋体" w:hAnsi="宋体" w:eastAsia="宋体"/>
          <w:sz w:val="24"/>
        </w:rPr>
      </w:pPr>
      <w:r>
        <w:rPr>
          <w:rFonts w:ascii="宋体" w:hAnsi="宋体" w:eastAsia="宋体"/>
          <w:sz w:val="24"/>
        </w:rPr>
        <w:t>(7)提供标准与规范的时间：</w:t>
      </w:r>
      <w:r>
        <w:rPr>
          <w:rFonts w:hint="eastAsia" w:ascii="宋体" w:hAnsi="宋体" w:eastAsia="宋体"/>
          <w:sz w:val="24"/>
          <w:u w:val="single"/>
        </w:rPr>
        <w:t>标准和规范文件资料由承包人自行筹集。</w:t>
      </w:r>
      <w:r>
        <w:rPr>
          <w:rFonts w:ascii="宋体" w:hAnsi="宋体" w:eastAsia="宋体"/>
          <w:sz w:val="24"/>
          <w:u w:val="single"/>
        </w:rPr>
        <w:t xml:space="preserve"> </w:t>
      </w:r>
    </w:p>
    <w:p>
      <w:pPr>
        <w:pStyle w:val="28"/>
        <w:spacing w:line="440" w:lineRule="exact"/>
        <w:ind w:firstLine="480" w:firstLineChars="200"/>
        <w:rPr>
          <w:rFonts w:ascii="宋体" w:hAnsi="宋体" w:eastAsia="宋体"/>
          <w:sz w:val="24"/>
        </w:rPr>
      </w:pPr>
      <w:r>
        <w:rPr>
          <w:rFonts w:ascii="宋体" w:hAnsi="宋体" w:eastAsia="宋体"/>
          <w:sz w:val="24"/>
        </w:rPr>
        <w:t>(8)组织图纸会审和设计交底的时间：</w:t>
      </w:r>
      <w:r>
        <w:rPr>
          <w:rFonts w:hint="eastAsia" w:ascii="宋体" w:hAnsi="宋体" w:eastAsia="宋体"/>
          <w:sz w:val="24"/>
          <w:u w:val="single"/>
        </w:rPr>
        <w:t>开工前由发包人组织。</w:t>
      </w:r>
    </w:p>
    <w:p>
      <w:pPr>
        <w:pStyle w:val="28"/>
        <w:spacing w:line="440" w:lineRule="exact"/>
        <w:ind w:firstLine="480" w:firstLineChars="200"/>
        <w:rPr>
          <w:rFonts w:ascii="宋体" w:hAnsi="宋体" w:eastAsia="宋体"/>
          <w:sz w:val="24"/>
          <w:u w:val="single"/>
        </w:rPr>
      </w:pPr>
      <w:r>
        <w:rPr>
          <w:rFonts w:ascii="宋体" w:hAnsi="宋体" w:eastAsia="宋体"/>
          <w:sz w:val="24"/>
        </w:rPr>
        <w:t>(9)协调处理施工场地周围地形关系问题和邻近建筑物等保护工作的约定：</w:t>
      </w:r>
      <w:r>
        <w:rPr>
          <w:rFonts w:hint="eastAsia" w:ascii="宋体" w:hAnsi="宋体" w:eastAsia="宋体"/>
          <w:sz w:val="24"/>
          <w:u w:val="single"/>
        </w:rPr>
        <w:t>承包人提出具体方案，由发包人及相关部门签字同意后由承包人实施，所需费用由承包人承担。施工过程中若因承包人施工措施不当原因造成的损坏，由承包人承担因此而引起的一切经济损失和法律责任。且工程施工过程中对现状建、构筑物造成损坏的，承包人须负责修复，所需一切费用由承包人自行承担，发包人不支付任何费用。</w:t>
      </w:r>
    </w:p>
    <w:p>
      <w:pPr>
        <w:pStyle w:val="28"/>
        <w:adjustRightInd w:val="0"/>
        <w:spacing w:line="420" w:lineRule="atLeast"/>
        <w:ind w:firstLine="480" w:firstLineChars="200"/>
        <w:jc w:val="left"/>
        <w:rPr>
          <w:rFonts w:ascii="宋体" w:hAnsi="宋体" w:eastAsia="宋体"/>
          <w:kern w:val="0"/>
        </w:rPr>
      </w:pPr>
      <w:r>
        <w:rPr>
          <w:rFonts w:hint="eastAsia" w:ascii="宋体" w:hAnsi="宋体" w:eastAsia="宋体"/>
          <w:kern w:val="0"/>
          <w:sz w:val="24"/>
        </w:rPr>
        <w:t>（</w:t>
      </w:r>
      <w:r>
        <w:rPr>
          <w:rFonts w:ascii="宋体" w:hAnsi="宋体" w:eastAsia="宋体"/>
          <w:kern w:val="0"/>
          <w:sz w:val="24"/>
        </w:rPr>
        <w:t>10）接收已完工程支付工程相关价款的约定：</w:t>
      </w:r>
      <w:r>
        <w:rPr>
          <w:rFonts w:hint="eastAsia" w:ascii="宋体" w:hAnsi="宋体" w:eastAsia="宋体"/>
          <w:kern w:val="0"/>
          <w:sz w:val="24"/>
          <w:u w:val="single"/>
        </w:rPr>
        <w:t>发包人有权取消本工程内的任何单项工程并不作任何补偿。发包人有权终止本工程正在施工的工程项目并不作任何补偿，结算时按实结算。</w:t>
      </w:r>
    </w:p>
    <w:p>
      <w:pPr>
        <w:pStyle w:val="28"/>
        <w:spacing w:line="440" w:lineRule="exact"/>
        <w:ind w:firstLine="480" w:firstLineChars="200"/>
        <w:jc w:val="left"/>
        <w:rPr>
          <w:rFonts w:ascii="宋体" w:hAnsi="宋体" w:eastAsia="宋体"/>
          <w:sz w:val="24"/>
          <w:u w:val="single"/>
        </w:rPr>
      </w:pPr>
      <w:r>
        <w:rPr>
          <w:rFonts w:hint="eastAsia" w:ascii="宋体" w:hAnsi="宋体" w:eastAsia="宋体"/>
          <w:sz w:val="24"/>
        </w:rPr>
        <w:t>※委托承包人办理的工作有：</w:t>
      </w:r>
      <w:r>
        <w:rPr>
          <w:rFonts w:hint="eastAsia" w:ascii="宋体" w:hAnsi="宋体" w:eastAsia="宋体"/>
          <w:sz w:val="24"/>
          <w:u w:val="single"/>
        </w:rPr>
        <w:t>由承包人办理工程报监手续，施工报建手续，占用市政道路、车辆通行、夜间施工等审批，完工（竣工）档案的整理、编制及移交。其它事宜在具体发生时商定。（费用按政策规定各自承担相应部分）。承包人必须充分考虑各项报建手续所需的时间，合理安排工期，不得以此延迟工期。上述工作所需相关费用（承包人应当承包的费用）已由承包人在合同总价中考虑，并包含在合同总价中。</w:t>
      </w:r>
    </w:p>
    <w:p>
      <w:pPr>
        <w:pStyle w:val="28"/>
        <w:spacing w:line="440" w:lineRule="exact"/>
        <w:ind w:firstLine="480" w:firstLineChars="200"/>
        <w:rPr>
          <w:rFonts w:ascii="宋体" w:hAnsi="宋体" w:eastAsia="宋体"/>
          <w:sz w:val="24"/>
        </w:rPr>
      </w:pPr>
      <w:r>
        <w:rPr>
          <w:rFonts w:ascii="宋体" w:hAnsi="宋体" w:eastAsia="宋体"/>
          <w:sz w:val="24"/>
        </w:rPr>
        <w:t xml:space="preserve">2.5 </w:t>
      </w:r>
      <w:r>
        <w:rPr>
          <w:rFonts w:hint="eastAsia" w:ascii="宋体" w:hAnsi="宋体" w:eastAsia="宋体"/>
          <w:sz w:val="24"/>
        </w:rPr>
        <w:t>资金来源证明及支付担保</w:t>
      </w:r>
    </w:p>
    <w:p>
      <w:pPr>
        <w:pStyle w:val="28"/>
        <w:spacing w:line="440" w:lineRule="exact"/>
        <w:ind w:firstLine="480" w:firstLineChars="200"/>
        <w:rPr>
          <w:rFonts w:ascii="宋体" w:hAnsi="宋体" w:eastAsia="宋体"/>
          <w:sz w:val="24"/>
        </w:rPr>
      </w:pPr>
      <w:r>
        <w:rPr>
          <w:rFonts w:hint="eastAsia" w:ascii="宋体" w:hAnsi="宋体" w:eastAsia="宋体"/>
          <w:sz w:val="24"/>
        </w:rPr>
        <w:t>发包人提供资金来源证明的期限要求：</w:t>
      </w:r>
      <w:r>
        <w:rPr>
          <w:rFonts w:hint="eastAsia" w:ascii="宋体" w:hAnsi="宋体" w:eastAsia="宋体"/>
          <w:kern w:val="0"/>
          <w:sz w:val="24"/>
          <w:u w:val="single"/>
        </w:rPr>
        <w:t>本款不适用</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发包人是否提供支付担保：</w:t>
      </w:r>
      <w:r>
        <w:rPr>
          <w:rFonts w:hint="eastAsia" w:ascii="宋体" w:hAnsi="宋体" w:eastAsia="宋体"/>
          <w:kern w:val="0"/>
          <w:sz w:val="24"/>
          <w:u w:val="single"/>
        </w:rPr>
        <w:t>本款不适用</w:t>
      </w:r>
      <w:r>
        <w:rPr>
          <w:rFonts w:hint="eastAsia" w:ascii="宋体" w:hAnsi="宋体" w:eastAsia="宋体"/>
          <w:sz w:val="24"/>
        </w:rPr>
        <w:t>。</w:t>
      </w:r>
    </w:p>
    <w:p>
      <w:pPr>
        <w:pStyle w:val="28"/>
        <w:spacing w:line="440" w:lineRule="exact"/>
        <w:ind w:firstLine="480" w:firstLineChars="200"/>
        <w:rPr>
          <w:rFonts w:ascii="宋体" w:hAnsi="宋体" w:eastAsia="宋体"/>
          <w:sz w:val="24"/>
          <w:u w:val="single"/>
        </w:rPr>
      </w:pPr>
      <w:r>
        <w:rPr>
          <w:rFonts w:hint="eastAsia" w:ascii="宋体" w:hAnsi="宋体" w:eastAsia="宋体"/>
          <w:sz w:val="24"/>
        </w:rPr>
        <w:t>发包人提供支付担保的形式：</w:t>
      </w:r>
      <w:r>
        <w:rPr>
          <w:rFonts w:hint="eastAsia" w:ascii="宋体" w:hAnsi="宋体" w:eastAsia="宋体"/>
          <w:kern w:val="0"/>
          <w:sz w:val="24"/>
          <w:u w:val="single"/>
        </w:rPr>
        <w:t>本款不适用</w:t>
      </w:r>
      <w:r>
        <w:rPr>
          <w:rFonts w:hint="eastAsia" w:ascii="宋体" w:hAnsi="宋体" w:eastAsia="宋体"/>
          <w:sz w:val="24"/>
        </w:rPr>
        <w:t>。</w:t>
      </w:r>
    </w:p>
    <w:p>
      <w:pPr>
        <w:pStyle w:val="28"/>
        <w:spacing w:line="440" w:lineRule="exact"/>
        <w:outlineLvl w:val="1"/>
        <w:rPr>
          <w:rFonts w:ascii="宋体" w:hAnsi="宋体" w:eastAsia="宋体"/>
          <w:sz w:val="24"/>
        </w:rPr>
      </w:pPr>
      <w:bookmarkStart w:id="243" w:name="_Toc14009"/>
      <w:r>
        <w:rPr>
          <w:rFonts w:ascii="宋体" w:hAnsi="宋体" w:eastAsia="宋体"/>
          <w:sz w:val="24"/>
        </w:rPr>
        <w:t xml:space="preserve">3. </w:t>
      </w:r>
      <w:r>
        <w:rPr>
          <w:rFonts w:hint="eastAsia" w:ascii="宋体" w:hAnsi="宋体" w:eastAsia="宋体"/>
          <w:sz w:val="24"/>
        </w:rPr>
        <w:t>承包人</w:t>
      </w:r>
      <w:bookmarkEnd w:id="243"/>
    </w:p>
    <w:p>
      <w:pPr>
        <w:pStyle w:val="28"/>
        <w:spacing w:line="440" w:lineRule="exact"/>
        <w:ind w:firstLine="480" w:firstLineChars="200"/>
        <w:rPr>
          <w:rFonts w:ascii="宋体" w:hAnsi="宋体" w:eastAsia="宋体"/>
          <w:sz w:val="24"/>
        </w:rPr>
      </w:pPr>
      <w:r>
        <w:rPr>
          <w:rFonts w:ascii="宋体" w:hAnsi="宋体" w:eastAsia="宋体"/>
          <w:sz w:val="24"/>
        </w:rPr>
        <w:t xml:space="preserve">3.1 </w:t>
      </w:r>
      <w:r>
        <w:rPr>
          <w:rFonts w:hint="eastAsia" w:ascii="宋体" w:hAnsi="宋体" w:eastAsia="宋体"/>
          <w:sz w:val="24"/>
        </w:rPr>
        <w:t>承包人的一般义务</w:t>
      </w:r>
    </w:p>
    <w:p>
      <w:pPr>
        <w:pStyle w:val="28"/>
        <w:spacing w:line="360" w:lineRule="auto"/>
        <w:ind w:firstLine="480"/>
        <w:jc w:val="left"/>
        <w:rPr>
          <w:rFonts w:ascii="宋体" w:hAnsi="宋体" w:eastAsia="宋体"/>
          <w:sz w:val="24"/>
          <w:u w:val="single"/>
        </w:rPr>
      </w:pPr>
      <w:r>
        <w:rPr>
          <w:rFonts w:hint="eastAsia" w:ascii="宋体" w:hAnsi="宋体" w:eastAsia="宋体"/>
          <w:kern w:val="0"/>
          <w:sz w:val="24"/>
        </w:rPr>
        <w:t>（</w:t>
      </w:r>
      <w:r>
        <w:rPr>
          <w:rFonts w:ascii="宋体" w:hAnsi="宋体" w:eastAsia="宋体"/>
          <w:kern w:val="0"/>
          <w:sz w:val="24"/>
        </w:rPr>
        <w:t>9）</w:t>
      </w:r>
      <w:r>
        <w:rPr>
          <w:rFonts w:hint="eastAsia" w:ascii="宋体" w:hAnsi="宋体" w:eastAsia="宋体"/>
          <w:sz w:val="24"/>
        </w:rPr>
        <w:t>承包人提交的竣工资料的内容：</w:t>
      </w:r>
      <w:r>
        <w:rPr>
          <w:rFonts w:hint="eastAsia" w:ascii="宋体" w:hAnsi="宋体" w:eastAsia="宋体"/>
          <w:sz w:val="24"/>
          <w:u w:val="single"/>
        </w:rPr>
        <w:t>承包人作为总承包单位有义务对总承包施工的工程资料按照《基本建设项目档案管理暂行规定》和甲方的具体要求进行收集、整理、编制、汇总和管理。本工程具备竣工验收条件，承包人应按照建设部及省、市的有关规定和发包人的要求编制工程竣工文件（含施工原始记录、照片、录像等资料）。各分部分项工程的竣工图应详尽，并在有关工程完工后陆续提交监理工程师审查，承包人应在竣工验收前</w:t>
      </w:r>
      <w:r>
        <w:rPr>
          <w:rFonts w:ascii="宋体" w:hAnsi="宋体" w:eastAsia="宋体"/>
          <w:sz w:val="24"/>
          <w:u w:val="single"/>
        </w:rPr>
        <w:t xml:space="preserve"> 15天内将整个工程的竣工文件提交监理工程师审查同意，方能进行交工验收。</w:t>
      </w:r>
    </w:p>
    <w:p>
      <w:pPr>
        <w:pStyle w:val="28"/>
        <w:spacing w:line="440" w:lineRule="exact"/>
        <w:ind w:firstLine="480" w:firstLineChars="200"/>
        <w:jc w:val="left"/>
        <w:rPr>
          <w:rFonts w:ascii="宋体" w:hAnsi="宋体" w:eastAsia="宋体"/>
          <w:kern w:val="0"/>
          <w:sz w:val="24"/>
          <w:u w:val="single"/>
        </w:rPr>
      </w:pPr>
      <w:r>
        <w:rPr>
          <w:rFonts w:ascii="宋体" w:hAnsi="宋体" w:eastAsia="宋体"/>
          <w:vanish/>
          <w:sz w:val="24"/>
          <w:u w:val="single"/>
        </w:rPr>
        <w:t>/</w:t>
      </w:r>
      <w:r>
        <w:rPr>
          <w:rFonts w:hint="eastAsia" w:ascii="宋体" w:hAnsi="宋体" w:eastAsia="宋体"/>
          <w:sz w:val="24"/>
          <w:u w:val="single"/>
        </w:rPr>
        <w:t>承包人需要提交的竣工资料套数：承包人在本工程竣工验收后</w:t>
      </w:r>
      <w:r>
        <w:rPr>
          <w:rFonts w:ascii="宋体" w:hAnsi="宋体" w:eastAsia="宋体"/>
          <w:sz w:val="24"/>
          <w:u w:val="single"/>
        </w:rPr>
        <w:t xml:space="preserve">30天内，应向发包人提供符合《基本建设项目档案管理暂行规定》要求，按规格编制成册的、真实的、完整的工程竣工图及有关的工程技术档案资料一式六份（内含电子文件六份），经监理方审核签收后由承包人提交发包人归档并同时提交有关归档的证明文件。 </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承包人需要提交的竣工资料套数：</w:t>
      </w:r>
      <w:r>
        <w:rPr>
          <w:rFonts w:hint="eastAsia" w:ascii="宋体" w:hAnsi="宋体" w:eastAsia="宋体"/>
          <w:sz w:val="24"/>
          <w:u w:val="single"/>
        </w:rPr>
        <w:t>纸质版不少于</w:t>
      </w:r>
      <w:r>
        <w:rPr>
          <w:rFonts w:ascii="宋体" w:hAnsi="宋体" w:eastAsia="宋体"/>
          <w:sz w:val="24"/>
          <w:u w:val="single"/>
        </w:rPr>
        <w:t>5套、电子版不少于3份</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承包人提交的竣工资料的费用承担：</w:t>
      </w:r>
      <w:r>
        <w:rPr>
          <w:rFonts w:hint="eastAsia" w:ascii="宋体" w:hAnsi="宋体" w:eastAsia="宋体"/>
          <w:sz w:val="24"/>
          <w:u w:val="single"/>
        </w:rPr>
        <w:t>由承包人承担，费用已包含在合同价中</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承包人提交的竣工资料移交时间：</w:t>
      </w:r>
      <w:r>
        <w:rPr>
          <w:rFonts w:hint="eastAsia" w:ascii="宋体" w:hAnsi="宋体" w:eastAsia="宋体"/>
          <w:sz w:val="24"/>
          <w:u w:val="single"/>
        </w:rPr>
        <w:t>竣工验收后</w:t>
      </w:r>
      <w:r>
        <w:rPr>
          <w:rFonts w:ascii="宋体" w:hAnsi="宋体" w:eastAsia="宋体"/>
          <w:sz w:val="24"/>
          <w:u w:val="single"/>
        </w:rPr>
        <w:t>30天内</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承包人提交的竣工资料形式要求：</w:t>
      </w:r>
      <w:r>
        <w:rPr>
          <w:rFonts w:hint="eastAsia" w:ascii="宋体" w:hAnsi="宋体" w:eastAsia="宋体"/>
          <w:sz w:val="24"/>
          <w:u w:val="single"/>
        </w:rPr>
        <w:t>发包人指定的形式</w:t>
      </w:r>
      <w:r>
        <w:rPr>
          <w:rFonts w:hint="eastAsia" w:ascii="宋体" w:hAnsi="宋体" w:eastAsia="宋体"/>
          <w:sz w:val="24"/>
        </w:rPr>
        <w:t>。</w:t>
      </w:r>
    </w:p>
    <w:p>
      <w:pPr>
        <w:pStyle w:val="28"/>
        <w:spacing w:line="440" w:lineRule="exact"/>
        <w:ind w:firstLine="480" w:firstLineChars="200"/>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10）承包人应履行的其他义务：</w:t>
      </w:r>
    </w:p>
    <w:p>
      <w:pPr>
        <w:pStyle w:val="28"/>
        <w:autoSpaceDE w:val="0"/>
        <w:autoSpaceDN w:val="0"/>
        <w:adjustRightInd w:val="0"/>
        <w:spacing w:line="360" w:lineRule="auto"/>
        <w:ind w:firstLine="480"/>
        <w:rPr>
          <w:rFonts w:ascii="宋体" w:hAnsi="宋体" w:eastAsia="宋体"/>
          <w:kern w:val="0"/>
          <w:sz w:val="24"/>
          <w:u w:val="single"/>
        </w:rPr>
      </w:pPr>
      <w:r>
        <w:rPr>
          <w:rFonts w:ascii="宋体" w:hAnsi="宋体" w:eastAsia="宋体"/>
          <w:kern w:val="0"/>
          <w:sz w:val="24"/>
        </w:rPr>
        <w:t>1）</w:t>
      </w:r>
      <w:r>
        <w:rPr>
          <w:rFonts w:hint="eastAsia" w:ascii="宋体" w:hAnsi="宋体" w:eastAsia="宋体"/>
          <w:kern w:val="0"/>
          <w:sz w:val="24"/>
          <w:u w:val="single"/>
        </w:rPr>
        <w:t>承包人办理本工程有关的施工报建手续、完工（竣工）验收手续、完工（竣工）档案的整理、编制、移交。其它事宜在具体发生时商定（费用按政策规定各自承担相应部分）。承包人必须充分考虑各项报建手续所需的时间，合理安排工期，不得以此延迟工期。上述工作所需相关费用承包人已考虑，并包含在合同价中。临时设施方案应在接到成交通知书后</w:t>
      </w:r>
      <w:r>
        <w:rPr>
          <w:rFonts w:ascii="宋体" w:hAnsi="宋体" w:eastAsia="宋体"/>
          <w:kern w:val="0"/>
          <w:sz w:val="24"/>
          <w:u w:val="single"/>
        </w:rPr>
        <w:t>7天内提交发包人及监理工程师审批。</w:t>
      </w:r>
    </w:p>
    <w:p>
      <w:pPr>
        <w:pStyle w:val="28"/>
        <w:spacing w:line="400" w:lineRule="exact"/>
        <w:ind w:firstLine="480" w:firstLineChars="200"/>
        <w:rPr>
          <w:rFonts w:ascii="宋体" w:hAnsi="宋体" w:eastAsia="宋体"/>
          <w:b/>
          <w:bCs/>
          <w:sz w:val="24"/>
          <w:u w:val="single"/>
        </w:rPr>
      </w:pPr>
      <w:r>
        <w:rPr>
          <w:rFonts w:ascii="宋体" w:hAnsi="宋体" w:eastAsia="宋体"/>
          <w:sz w:val="24"/>
        </w:rPr>
        <w:t>2</w:t>
      </w:r>
      <w:r>
        <w:rPr>
          <w:rFonts w:hint="eastAsia" w:ascii="宋体" w:hAnsi="宋体" w:eastAsia="宋体"/>
          <w:b/>
          <w:bCs/>
          <w:sz w:val="24"/>
          <w:u w:val="single"/>
        </w:rPr>
        <w:t>）承包人在开工前应针对该工程的施工环境、工期要求编制施工组织设计、施工方案，在响应报价中应充分考虑该部分的措施费用。在开工前</w:t>
      </w:r>
      <w:r>
        <w:rPr>
          <w:rFonts w:ascii="宋体" w:hAnsi="宋体" w:eastAsia="宋体"/>
          <w:b/>
          <w:bCs/>
          <w:sz w:val="24"/>
          <w:u w:val="single"/>
        </w:rPr>
        <w:t>3天内，承包人应将施工方案交发包人批准实施，若发包人认为该施工方案需修改或调整，由此增加的费用由承包人负责。</w:t>
      </w:r>
    </w:p>
    <w:p>
      <w:pPr>
        <w:pStyle w:val="28"/>
        <w:spacing w:line="400" w:lineRule="exact"/>
        <w:ind w:firstLine="482" w:firstLineChars="200"/>
        <w:rPr>
          <w:rFonts w:ascii="宋体" w:hAnsi="宋体" w:eastAsia="宋体"/>
          <w:b/>
          <w:bCs/>
          <w:sz w:val="24"/>
          <w:u w:val="single"/>
        </w:rPr>
      </w:pPr>
      <w:r>
        <w:rPr>
          <w:rFonts w:hint="eastAsia" w:ascii="宋体" w:hAnsi="宋体" w:eastAsia="宋体"/>
          <w:b/>
          <w:bCs/>
          <w:sz w:val="24"/>
          <w:u w:val="single"/>
        </w:rPr>
        <w:t>承包人提交施工组织设计中须包括承包人的进场机械及材料的方案及时间，且须符合本工程竞争性磋商文件及合同的相关规定，必须取得发包人审批同意。相关进场机械及材料数量或时间审批不通过的，发包人有权处以承包人</w:t>
      </w:r>
      <w:r>
        <w:rPr>
          <w:rFonts w:ascii="宋体" w:hAnsi="宋体" w:eastAsia="宋体"/>
          <w:b/>
          <w:bCs/>
          <w:sz w:val="24"/>
          <w:u w:val="single"/>
        </w:rPr>
        <w:t>5000元违约金；经修改后仍不通过的，发包人有权处以10000元违约金，情节严重的发包人有权解除合同，相关责任、费用全部由承包人承担。</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 xml:space="preserve">3） </w:t>
      </w:r>
      <w:r>
        <w:rPr>
          <w:rFonts w:hint="eastAsia" w:ascii="宋体" w:hAnsi="宋体" w:eastAsia="宋体"/>
          <w:sz w:val="24"/>
          <w:u w:val="single"/>
        </w:rPr>
        <w:t>用于本工程的一切施工机械必须类型齐全，配套完整并与施工质量和进度相适应。</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4）本工程选用的材料及构件应按国家、地方有关建设部门的规定进行符合要求的检测检验，并按有关规定向发包人提供由有资质和符合规定的检测检验单位出具的合格的检验报告及其他合格证明材料。</w:t>
      </w:r>
    </w:p>
    <w:p>
      <w:pPr>
        <w:pStyle w:val="28"/>
        <w:spacing w:line="400" w:lineRule="exact"/>
        <w:ind w:firstLine="480" w:firstLineChars="200"/>
        <w:rPr>
          <w:rFonts w:ascii="宋体" w:hAnsi="宋体" w:eastAsia="宋体"/>
          <w:sz w:val="24"/>
          <w:u w:val="single"/>
        </w:rPr>
      </w:pPr>
      <w:r>
        <w:rPr>
          <w:rFonts w:hint="eastAsia" w:ascii="宋体" w:hAnsi="宋体" w:eastAsia="宋体"/>
          <w:sz w:val="24"/>
          <w:u w:val="single"/>
        </w:rPr>
        <w:t>发包人有权不定时自行委托有资质的检测单位对本工程的材料、单项工程进行检测而不需提前通知承包人。</w:t>
      </w:r>
    </w:p>
    <w:p>
      <w:pPr>
        <w:pStyle w:val="28"/>
        <w:spacing w:line="400" w:lineRule="exact"/>
        <w:ind w:firstLine="480" w:firstLineChars="200"/>
        <w:rPr>
          <w:rFonts w:ascii="宋体" w:hAnsi="宋体" w:eastAsia="宋体"/>
          <w:sz w:val="24"/>
          <w:u w:val="single"/>
        </w:rPr>
      </w:pPr>
      <w:r>
        <w:rPr>
          <w:rFonts w:hint="eastAsia" w:ascii="宋体" w:hAnsi="宋体" w:eastAsia="宋体"/>
          <w:sz w:val="24"/>
          <w:u w:val="single"/>
        </w:rPr>
        <w:t>本工程所用的全部材料使用前承包人须向发包人及监理单位备案方能使用。</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5）承包人应按照要求办理其施工机械设备和雇佣职工安全事故保险，费用由承包人负担，并应被认为已摊入各工程细目的单价之内，不单独支付。</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6）承包人应提前到相关部门咨询本工程中各单位专业验收所需的资料、证照及手续，并承诺完成本工程各项验收手续，相关费用由承包人自理。</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7）承包人应考虑在夜间施工可能得不到有关部门批准的因素，合理安排施工工期，不得延误。</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8）施工期间必须保证不影响周边道路、管线的使用及居民正常生活；由于承包人的原因，致使周边居民正常生活受到干扰时，承包人必须即时做好施工现场管理，并在24小时内书面陈述存在问题及整改措施。如因承包人施工，影响道路、管线等正常使用、影响居民的正常生活而给其他部门或个人造成周边建筑物破坏等的一切损失，或由上述原因造成本工程工期的拖延或施工费用的增加，均由承包人自行负责。</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9）承包人必须注意施工安全，做好安全文明施工工作，如因措施不当造成人身安全或工</w:t>
      </w:r>
      <w:r>
        <w:rPr>
          <w:rFonts w:hint="eastAsia" w:ascii="宋体" w:hAnsi="宋体" w:eastAsia="宋体"/>
          <w:sz w:val="24"/>
          <w:u w:val="single"/>
        </w:rPr>
        <w:t>伤死亡事故，一切责任由承包人负责。</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10）在施工过程中，需按施工规范和发包人要求设置告示牌和指示牌，相关费用由承包人自理。</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11）该工程施工过程中承包人必须做好施工人员的安全教育，施工安全和防范工作，施工出现事故均由承包人负责。同时承包人必须按有关文件精神进行文明施工，文明施工费用由承包人负责。工程施工的环境卫生由承包人全面负责，施工的余泥垃圾由承包人负责处理。</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12）承包人必须按时发放工人工资，并接受发包人及其上级主管部门的监督。施工报建时的工人工资保证金由承包人全部支付。若承包人在合同履行过程中未能及时、足额的发放劳动者工资及相关费用，一经查实，发包人有权在承包人的工程进度款项或保修金中扣留相应的费用，用于支付劳动者工资及相关费用，承包人不得有异议。若承包人拖欠、克扣劳动者工资而引发影响公共秩序的事件，如民工上访、聚众闹事、斗殴、游行、阻工等相关事件，承包人的法定代表人或者主要经营者应在事发后1小时内到现场协助处理事件；未到现场的，依据《广东省工资支付条例》第五十一条，由劳动保障行政部门处以一万元以上五万元以下罚款。若事件给业主造成了信誉伤害，承包人应承担赔偿责任。</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13）在施工期间，可能同时有其他工程施工，本工程承包人作为本工程的总承包人必须负责协调工作，</w:t>
      </w:r>
      <w:r>
        <w:rPr>
          <w:rFonts w:hint="eastAsia" w:ascii="宋体" w:hAnsi="宋体" w:eastAsia="宋体"/>
          <w:sz w:val="24"/>
          <w:u w:val="single"/>
        </w:rPr>
        <w:t>响应</w:t>
      </w:r>
      <w:r>
        <w:rPr>
          <w:rFonts w:ascii="宋体" w:hAnsi="宋体" w:eastAsia="宋体"/>
          <w:sz w:val="24"/>
          <w:u w:val="single"/>
        </w:rPr>
        <w:t>报价中应包含此部分的施工协调费用，以及行政管理部门的相关收费。</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14）在施工过程中，承包人应负责所有物品的防盗，因其疏忽大意造成的损坏或失窃由承包人负责，相关费用由承包人自理。</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15）承包人在发包人组织图纸会审时,向发包人提交本工程的施工组织设计和施工进度计划，经发包人及监理单位审核同意后，由发包人及监理单位按审核后的施工组织设计和施工进度计划监督本工程的实施，操作如下：</w:t>
      </w:r>
    </w:p>
    <w:p>
      <w:pPr>
        <w:pStyle w:val="28"/>
        <w:spacing w:line="400" w:lineRule="exact"/>
        <w:ind w:firstLine="480" w:firstLineChars="200"/>
        <w:rPr>
          <w:rFonts w:ascii="宋体" w:hAnsi="宋体" w:eastAsia="宋体"/>
          <w:sz w:val="24"/>
          <w:u w:val="single"/>
        </w:rPr>
      </w:pPr>
      <w:r>
        <w:rPr>
          <w:rFonts w:hint="eastAsia" w:ascii="宋体" w:hAnsi="宋体" w:eastAsia="宋体"/>
          <w:sz w:val="24"/>
          <w:u w:val="single"/>
        </w:rPr>
        <w:t>①承包人如未能按审核后的施工进度计划进行实施，由发包人和监理单位共同发出工程整改通知书，承包人须在收到整改通知书后一周内（含收到整改通知书当天）提出整改措施方案并组织实施。</w:t>
      </w:r>
    </w:p>
    <w:p>
      <w:pPr>
        <w:pStyle w:val="28"/>
        <w:spacing w:line="400" w:lineRule="exact"/>
        <w:ind w:firstLine="480" w:firstLineChars="200"/>
        <w:rPr>
          <w:rFonts w:ascii="宋体" w:hAnsi="宋体" w:eastAsia="宋体"/>
          <w:sz w:val="24"/>
          <w:u w:val="single"/>
        </w:rPr>
      </w:pPr>
      <w:r>
        <w:rPr>
          <w:rFonts w:hint="eastAsia" w:ascii="宋体" w:hAnsi="宋体" w:eastAsia="宋体"/>
          <w:sz w:val="24"/>
          <w:u w:val="single"/>
        </w:rPr>
        <w:t>②承包人如在本工程施工中施工质量未能达到相关规范要求，由发包人和监理单位共同发出工程整改通知书，承包人须在收到整改通知书后三天内（含收到整改通知书当天）完成整改。</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 xml:space="preserve">16）施工场地安全保卫工作及提供和维修非夜间施工使用的照明、围护设施的责任和要求： </w:t>
      </w:r>
    </w:p>
    <w:p>
      <w:pPr>
        <w:pStyle w:val="28"/>
        <w:spacing w:line="400" w:lineRule="exact"/>
        <w:ind w:firstLine="480" w:firstLineChars="200"/>
        <w:rPr>
          <w:rFonts w:ascii="宋体" w:hAnsi="宋体" w:eastAsia="宋体"/>
          <w:sz w:val="24"/>
          <w:u w:val="single"/>
        </w:rPr>
      </w:pPr>
      <w:r>
        <w:rPr>
          <w:rFonts w:hint="eastAsia" w:ascii="宋体" w:hAnsi="宋体" w:eastAsia="宋体"/>
          <w:sz w:val="24"/>
          <w:u w:val="single"/>
        </w:rPr>
        <w:t>①承包人应保证其相关工作符合安全文明施工的相关规定；</w:t>
      </w:r>
    </w:p>
    <w:p>
      <w:pPr>
        <w:pStyle w:val="28"/>
        <w:spacing w:line="400" w:lineRule="exact"/>
        <w:ind w:firstLine="480" w:firstLineChars="200"/>
        <w:rPr>
          <w:rFonts w:ascii="宋体" w:hAnsi="宋体" w:eastAsia="宋体"/>
          <w:sz w:val="24"/>
          <w:u w:val="single"/>
        </w:rPr>
      </w:pPr>
      <w:r>
        <w:rPr>
          <w:rFonts w:hint="eastAsia" w:ascii="宋体" w:hAnsi="宋体" w:eastAsia="宋体"/>
          <w:sz w:val="24"/>
          <w:u w:val="single"/>
        </w:rPr>
        <w:t>②承包人应根据工程需要，承担施工场地安全保卫工作，施工中发生的一切盗窃及其他安全事故的全部责任和损失由承包人承担，承包人并应立即报告发包人、监理工程师和建设行政主管部门；</w:t>
      </w:r>
    </w:p>
    <w:p>
      <w:pPr>
        <w:pStyle w:val="28"/>
        <w:spacing w:line="400" w:lineRule="exact"/>
        <w:ind w:firstLine="480" w:firstLineChars="200"/>
        <w:rPr>
          <w:rFonts w:ascii="宋体" w:hAnsi="宋体" w:eastAsia="宋体"/>
          <w:sz w:val="24"/>
          <w:u w:val="single"/>
        </w:rPr>
      </w:pPr>
      <w:r>
        <w:rPr>
          <w:rFonts w:hint="eastAsia" w:ascii="宋体" w:hAnsi="宋体" w:eastAsia="宋体"/>
          <w:sz w:val="24"/>
          <w:u w:val="single"/>
        </w:rPr>
        <w:t>③承包人应提供和维修施工使用的照明、围护设施。以上工作均须严格按照建设部《建筑工程安全防护、文明施工措施费用及使用管理规定》等法规的规定执行，所需的费用包含在合同价款中。</w:t>
      </w:r>
      <w:r>
        <w:rPr>
          <w:rFonts w:ascii="宋体" w:hAnsi="宋体" w:eastAsia="宋体"/>
          <w:sz w:val="24"/>
          <w:u w:val="single"/>
        </w:rPr>
        <w:t xml:space="preserve"> </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 xml:space="preserve">17）需承包人按规定办理的有关施工场地交通、环境保护、施工噪音、安全文明施工等手续的要求：  遵守政府有关行政主管部门对施工场地交通、环境保护、施工噪音以及安全生产等管理规定，按规定办理有关手续并承担相应的费用；并负责安全保卫，阻止未经授权的人员进入现场；以上工作的费用包含在合同价款中；若承包人未认真履行上述义务而造成工程、财产损失和人身伤害，由承包人承担一切责任及其所发生的费用。 </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 xml:space="preserve">18）已完工程成品保护的特殊要求： 已完工程未竣工验收交付发包人之前，总承包人负责协调并责成其施工的已完工程的保护工作，此期间发生损坏无论是何种原因导致，承包人均负责协调并责成修复，费用和相关责任自负； </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19）承包人须督促和管理各单位完成相关开孔、封堵等收尾工作，管理协调费用已包含在合同价中，承包人须无条件完成上述工作。</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 xml:space="preserve">20）发包人除对与工程实体产生冲突的管线进行迁移外，其余管线均只采取就地保护措施，所以要求承包人在管线上或管线附近通行和施工作业时，必须视情况需要采取铺垫钢板、打桩支护或其他有效措施以保护有关管线不遭损坏。凡因施工致使管线遭到损坏的，一切损失和后果由承包人承担。 </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21）交工前清洁施工现场的要求：按照环境卫生管理部门的有关规定，交工前清理施工现场内的余土、垃圾、生产生活设施等，并达到规定的要求；临时设施应拆除清理干净，恢复原状，做到工完场清，承担因违反有关规定造成的损失和罚款。此项费用由承包人承担。</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22）垂直运输费用已包含在合同价中，发包人不会就任何有关上述项目费用另行签证增加本工程费用。</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23）承包人应严格遵守有关环境保护法律、法规，并按照环境监察审核工作要求，加强施工现场的环境管理，在施工过程中严格落实粉尘、废水等污染防治措施及生态保护、水源保护措施。</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24）由于承包人原因导致合同终止的，发包人与承包人对已完成工程量进行结算，承包人应向发包人支付本工程因二次</w:t>
      </w:r>
      <w:r>
        <w:rPr>
          <w:rFonts w:hint="eastAsia" w:ascii="宋体" w:hAnsi="宋体" w:eastAsia="宋体"/>
          <w:sz w:val="24"/>
          <w:u w:val="single"/>
        </w:rPr>
        <w:t>采购</w:t>
      </w:r>
      <w:r>
        <w:rPr>
          <w:rFonts w:ascii="宋体" w:hAnsi="宋体" w:eastAsia="宋体"/>
          <w:sz w:val="24"/>
          <w:u w:val="single"/>
        </w:rPr>
        <w:t>所产生的</w:t>
      </w:r>
      <w:r>
        <w:rPr>
          <w:rFonts w:hint="eastAsia" w:ascii="宋体" w:hAnsi="宋体" w:eastAsia="宋体"/>
          <w:sz w:val="24"/>
          <w:u w:val="single"/>
        </w:rPr>
        <w:t>采购</w:t>
      </w:r>
      <w:r>
        <w:rPr>
          <w:rFonts w:ascii="宋体" w:hAnsi="宋体" w:eastAsia="宋体"/>
          <w:sz w:val="24"/>
          <w:u w:val="single"/>
        </w:rPr>
        <w:t>费用和因工程发布价变更而产生的预算差额。</w:t>
      </w:r>
    </w:p>
    <w:p>
      <w:pPr>
        <w:pStyle w:val="28"/>
        <w:spacing w:line="400" w:lineRule="exact"/>
        <w:ind w:firstLine="480" w:firstLineChars="200"/>
        <w:rPr>
          <w:rFonts w:ascii="宋体" w:hAnsi="宋体" w:eastAsia="宋体"/>
          <w:kern w:val="0"/>
          <w:sz w:val="24"/>
          <w:u w:val="single"/>
        </w:rPr>
      </w:pPr>
      <w:r>
        <w:rPr>
          <w:rFonts w:ascii="宋体" w:hAnsi="宋体" w:eastAsia="宋体"/>
          <w:sz w:val="24"/>
          <w:u w:val="single"/>
        </w:rPr>
        <w:t>25）</w:t>
      </w:r>
      <w:r>
        <w:rPr>
          <w:rFonts w:hint="eastAsia" w:ascii="宋体" w:hAnsi="宋体" w:eastAsia="宋体"/>
          <w:kern w:val="0"/>
          <w:sz w:val="24"/>
          <w:u w:val="single"/>
        </w:rPr>
        <w:t>绿化养护说明</w:t>
      </w:r>
    </w:p>
    <w:p>
      <w:pPr>
        <w:pStyle w:val="28"/>
        <w:widowControl/>
        <w:spacing w:line="400" w:lineRule="atLeast"/>
        <w:ind w:firstLine="240" w:firstLineChars="100"/>
        <w:rPr>
          <w:rFonts w:ascii="宋体" w:hAnsi="宋体" w:eastAsia="宋体"/>
          <w:kern w:val="0"/>
          <w:sz w:val="24"/>
          <w:u w:val="single"/>
        </w:rPr>
      </w:pPr>
      <w:r>
        <w:rPr>
          <w:rFonts w:hint="eastAsia" w:ascii="宋体" w:hAnsi="宋体" w:eastAsia="宋体"/>
          <w:kern w:val="0"/>
          <w:sz w:val="24"/>
          <w:u w:val="single"/>
        </w:rPr>
        <w:t>（</w:t>
      </w:r>
      <w:r>
        <w:rPr>
          <w:rFonts w:ascii="宋体" w:hAnsi="宋体" w:eastAsia="宋体"/>
          <w:kern w:val="0"/>
          <w:sz w:val="24"/>
          <w:u w:val="single"/>
        </w:rPr>
        <w:t>1）绿化工程质量要求严格按照本工程施工图的设计及施工说明执行。</w:t>
      </w:r>
    </w:p>
    <w:p>
      <w:pPr>
        <w:pStyle w:val="28"/>
        <w:widowControl/>
        <w:spacing w:line="400" w:lineRule="atLeast"/>
        <w:ind w:firstLine="240" w:firstLineChars="100"/>
        <w:rPr>
          <w:rFonts w:ascii="宋体" w:hAnsi="宋体" w:eastAsia="宋体"/>
          <w:kern w:val="0"/>
          <w:sz w:val="24"/>
          <w:u w:val="single"/>
        </w:rPr>
      </w:pPr>
      <w:r>
        <w:rPr>
          <w:rFonts w:hint="eastAsia" w:ascii="宋体" w:hAnsi="宋体" w:eastAsia="宋体"/>
          <w:kern w:val="0"/>
          <w:sz w:val="24"/>
          <w:u w:val="single"/>
        </w:rPr>
        <w:t>（</w:t>
      </w:r>
      <w:r>
        <w:rPr>
          <w:rFonts w:ascii="宋体" w:hAnsi="宋体" w:eastAsia="宋体"/>
          <w:kern w:val="0"/>
          <w:sz w:val="24"/>
          <w:u w:val="single"/>
        </w:rPr>
        <w:t>2）本工程绿化养护时间为6个月。</w:t>
      </w:r>
    </w:p>
    <w:p>
      <w:pPr>
        <w:pStyle w:val="28"/>
        <w:widowControl/>
        <w:spacing w:line="400" w:lineRule="atLeast"/>
        <w:ind w:firstLine="240" w:firstLineChars="100"/>
        <w:rPr>
          <w:rFonts w:ascii="宋体" w:hAnsi="宋体" w:eastAsia="宋体"/>
          <w:kern w:val="0"/>
          <w:sz w:val="24"/>
          <w:u w:val="single"/>
        </w:rPr>
      </w:pPr>
      <w:r>
        <w:rPr>
          <w:rFonts w:hint="eastAsia" w:ascii="宋体" w:hAnsi="宋体" w:eastAsia="宋体"/>
          <w:kern w:val="0"/>
          <w:sz w:val="24"/>
          <w:u w:val="single"/>
        </w:rPr>
        <w:t>（</w:t>
      </w:r>
      <w:r>
        <w:rPr>
          <w:rFonts w:ascii="宋体" w:hAnsi="宋体" w:eastAsia="宋体"/>
          <w:kern w:val="0"/>
          <w:sz w:val="24"/>
          <w:u w:val="single"/>
        </w:rPr>
        <w:t>3）养护期工作内容是通过浇水、施肥、除杂草、修剪与病虫害的防治等工作，使草皮等始终处于健康的生长状态。具体要求结合竞争性磋商文件及工程量清单。</w:t>
      </w:r>
    </w:p>
    <w:p>
      <w:pPr>
        <w:pStyle w:val="28"/>
        <w:widowControl/>
        <w:spacing w:line="400" w:lineRule="atLeast"/>
        <w:ind w:firstLine="240" w:firstLineChars="100"/>
        <w:rPr>
          <w:rFonts w:ascii="宋体" w:hAnsi="宋体" w:eastAsia="宋体"/>
          <w:kern w:val="0"/>
          <w:sz w:val="24"/>
          <w:u w:val="single"/>
        </w:rPr>
      </w:pPr>
      <w:r>
        <w:rPr>
          <w:rFonts w:hint="eastAsia" w:ascii="宋体" w:hAnsi="宋体" w:eastAsia="宋体"/>
          <w:kern w:val="0"/>
          <w:sz w:val="24"/>
          <w:u w:val="single"/>
        </w:rPr>
        <w:t>（</w:t>
      </w:r>
      <w:r>
        <w:rPr>
          <w:rFonts w:ascii="宋体" w:hAnsi="宋体" w:eastAsia="宋体"/>
          <w:kern w:val="0"/>
          <w:sz w:val="24"/>
          <w:u w:val="single"/>
        </w:rPr>
        <w:t>4）养护期内，如出现有草皮枯死的，承包人应在接发包人通知后5天内更换或补种。若出现大面积的更换或补种的草皮，其养护期依补种之日起顺延。否则，由发包人自行更换或补种，所需费用由承包人负责，并要求承包人赔偿双倍所需费用。养护期内的一切费用支出由承包人自行负责。</w:t>
      </w:r>
    </w:p>
    <w:p>
      <w:pPr>
        <w:pStyle w:val="28"/>
        <w:widowControl/>
        <w:spacing w:line="400" w:lineRule="atLeast"/>
        <w:ind w:firstLine="240" w:firstLineChars="100"/>
        <w:rPr>
          <w:rFonts w:ascii="宋体" w:hAnsi="宋体" w:eastAsia="宋体"/>
          <w:kern w:val="0"/>
          <w:sz w:val="24"/>
          <w:u w:val="single"/>
        </w:rPr>
      </w:pPr>
      <w:r>
        <w:rPr>
          <w:rFonts w:hint="eastAsia" w:ascii="宋体" w:hAnsi="宋体" w:eastAsia="宋体"/>
          <w:kern w:val="0"/>
          <w:sz w:val="24"/>
          <w:u w:val="single"/>
        </w:rPr>
        <w:t>（</w:t>
      </w:r>
      <w:r>
        <w:rPr>
          <w:rFonts w:ascii="宋体" w:hAnsi="宋体" w:eastAsia="宋体"/>
          <w:kern w:val="0"/>
          <w:sz w:val="24"/>
          <w:u w:val="single"/>
        </w:rPr>
        <w:t>5）工程竣工验收合格后，养护期满并且经发包人确认后，承包人及整个工程的养护管理权将交给发包人或养护单位，承包人不再承担保养责任。</w:t>
      </w:r>
    </w:p>
    <w:p>
      <w:pPr>
        <w:pStyle w:val="28"/>
        <w:spacing w:line="400" w:lineRule="exact"/>
        <w:ind w:firstLine="480" w:firstLineChars="200"/>
        <w:rPr>
          <w:rFonts w:ascii="宋体" w:hAnsi="宋体" w:eastAsia="宋体"/>
          <w:kern w:val="0"/>
          <w:sz w:val="24"/>
          <w:u w:val="single"/>
        </w:rPr>
      </w:pPr>
      <w:r>
        <w:rPr>
          <w:rFonts w:ascii="宋体" w:hAnsi="宋体" w:eastAsia="宋体"/>
          <w:kern w:val="0"/>
          <w:sz w:val="24"/>
          <w:u w:val="single"/>
        </w:rPr>
        <w:t>26）承包人须按《保障农民工工资支付条例》（中华人民共和国国务院令第724）号文（5月1日实施）、《佛山市人民政府办公室关于印发佛山市政府投资建设工程工资支付管理暂行办法的通知》（佛府办[2018]39号）、《关于加强建筑工人劳务实名制和工资分账制管理工作的通知》（三建发[2018]357号）及《关于印发佛山市工程建设领域工人工资支付保证金管理办法的通知》（佛人社[2022]4号）等文件规定执行（以上文件若有更新，以最新发布文件的要求执行），工资保证金可采用工人工资支付保证保险、银行保函、现金存缴的方式缴纳。</w:t>
      </w:r>
    </w:p>
    <w:p>
      <w:pPr>
        <w:pStyle w:val="28"/>
        <w:spacing w:line="400" w:lineRule="exact"/>
        <w:ind w:firstLine="480" w:firstLineChars="200"/>
        <w:rPr>
          <w:rFonts w:ascii="宋体" w:hAnsi="宋体" w:eastAsia="宋体"/>
          <w:kern w:val="0"/>
          <w:sz w:val="24"/>
          <w:u w:val="single"/>
        </w:rPr>
      </w:pPr>
      <w:r>
        <w:rPr>
          <w:rFonts w:ascii="宋体" w:hAnsi="宋体" w:eastAsia="宋体"/>
          <w:kern w:val="0"/>
          <w:sz w:val="24"/>
          <w:u w:val="single"/>
        </w:rPr>
        <w:t>a）在项目所在地的商业银行设立“工人工资支付专用账户”及“工资保证金专用账户”（如以现金缴存的须设立“工资保证金专用账户”，如采用保证保险、银行保函则不需设立“工资保证金专用账户”）。</w:t>
      </w:r>
    </w:p>
    <w:p>
      <w:pPr>
        <w:pStyle w:val="28"/>
        <w:spacing w:line="400" w:lineRule="exact"/>
        <w:ind w:firstLine="480" w:firstLineChars="200"/>
        <w:rPr>
          <w:rFonts w:ascii="宋体" w:hAnsi="宋体" w:eastAsia="宋体"/>
          <w:kern w:val="0"/>
          <w:sz w:val="24"/>
          <w:u w:val="single"/>
        </w:rPr>
      </w:pPr>
      <w:r>
        <w:rPr>
          <w:rFonts w:ascii="宋体" w:hAnsi="宋体" w:eastAsia="宋体"/>
          <w:kern w:val="0"/>
          <w:sz w:val="24"/>
          <w:u w:val="single"/>
        </w:rPr>
        <w:t>b）工资保证金如采用现金缴存的，由承包人设立“工资保证金专用账户”，并按佛人社[2022]4号文规定，将签约合同价的3%，作为工人工资支付保证；以保证保险方式缴纳的，支付保证保险的承保金额为合同价的3%；以银行保函方式缴纳的，支付保证保险的承保金额为合同价的3%。</w:t>
      </w:r>
    </w:p>
    <w:p>
      <w:pPr>
        <w:pStyle w:val="28"/>
        <w:spacing w:line="400" w:lineRule="exact"/>
        <w:ind w:firstLine="480" w:firstLineChars="200"/>
        <w:rPr>
          <w:rFonts w:ascii="宋体" w:hAnsi="宋体" w:eastAsia="宋体"/>
          <w:kern w:val="0"/>
          <w:sz w:val="24"/>
          <w:u w:val="single"/>
        </w:rPr>
      </w:pPr>
      <w:r>
        <w:rPr>
          <w:rFonts w:ascii="宋体" w:hAnsi="宋体" w:eastAsia="宋体"/>
          <w:kern w:val="0"/>
          <w:sz w:val="24"/>
          <w:u w:val="single"/>
        </w:rPr>
        <w:t>c）对工人工资分账管理，按每期计量支付价款的15%比例存入“工人工资支付专用账户”。“工人工资支付专用账户”除发放工人工资外，不得用于其他用途，不得提取现金和开通网上银行等电子支付渠道。</w:t>
      </w:r>
    </w:p>
    <w:p>
      <w:pPr>
        <w:pStyle w:val="28"/>
        <w:spacing w:line="400" w:lineRule="exact"/>
        <w:ind w:firstLine="480" w:firstLineChars="200"/>
        <w:rPr>
          <w:rFonts w:ascii="宋体" w:hAnsi="宋体" w:eastAsia="宋体"/>
          <w:kern w:val="0"/>
          <w:sz w:val="24"/>
          <w:u w:val="single"/>
        </w:rPr>
      </w:pPr>
      <w:r>
        <w:rPr>
          <w:rFonts w:ascii="宋体" w:hAnsi="宋体" w:eastAsia="宋体"/>
          <w:kern w:val="0"/>
          <w:sz w:val="24"/>
          <w:u w:val="single"/>
        </w:rPr>
        <w:t>d）工程建设项目的施工单位因本工程发生拖欠工人工资的，由人力资源社会保障部门依法责令限期改正或作出行政处理决定。施工单位逾期仍未支付的，由施工单位项目部驻地的区人力资源社会保障部门和项目的行政主管部门查核后将向工资保证金保险公司/工资保证金开户银行发书面通知，工资保证金保险公司/工资保证金开户银行收到后无条件向将相应的资金</w:t>
      </w:r>
      <w:r>
        <w:rPr>
          <w:rFonts w:hint="eastAsia" w:ascii="宋体" w:hAnsi="宋体" w:eastAsia="宋体"/>
          <w:kern w:val="0"/>
          <w:sz w:val="24"/>
          <w:u w:val="single"/>
        </w:rPr>
        <w:t>拨</w:t>
      </w:r>
      <w:r>
        <w:rPr>
          <w:rFonts w:ascii="宋体" w:hAnsi="宋体" w:eastAsia="宋体"/>
          <w:kern w:val="0"/>
          <w:sz w:val="24"/>
          <w:u w:val="single"/>
        </w:rPr>
        <w:t>付到工人个人账户中。</w:t>
      </w:r>
    </w:p>
    <w:p>
      <w:pPr>
        <w:pStyle w:val="28"/>
        <w:spacing w:line="400" w:lineRule="exact"/>
        <w:ind w:firstLine="480" w:firstLineChars="200"/>
        <w:rPr>
          <w:rFonts w:ascii="宋体" w:hAnsi="宋体" w:eastAsia="宋体"/>
          <w:kern w:val="0"/>
          <w:sz w:val="24"/>
          <w:u w:val="single"/>
        </w:rPr>
      </w:pPr>
      <w:r>
        <w:rPr>
          <w:rFonts w:ascii="宋体" w:hAnsi="宋体" w:eastAsia="宋体"/>
          <w:kern w:val="0"/>
          <w:sz w:val="24"/>
          <w:u w:val="single"/>
        </w:rPr>
        <w:t>e）未尽事宜详见《关于印发佛山市工程建设领域工人工资支付保证金管理办法的通知》（（佛人社[2022]4号）、关于印发《佛山市建设领域工人工资支付保证金差异化缴存管理办法》的通知（佛人社[2019]52号）、《佛山市三水区建设领域工资保证金管理办法》（三人社发〔2018〕170号）等文件要求</w:t>
      </w:r>
      <w:r>
        <w:rPr>
          <w:rFonts w:hint="eastAsia" w:ascii="宋体" w:hAnsi="宋体" w:eastAsia="宋体"/>
          <w:sz w:val="24"/>
          <w:u w:val="single"/>
        </w:rPr>
        <w:t>。</w:t>
      </w:r>
    </w:p>
    <w:p>
      <w:pPr>
        <w:pStyle w:val="28"/>
        <w:widowControl/>
        <w:spacing w:line="400" w:lineRule="atLeast"/>
        <w:ind w:firstLine="480" w:firstLineChars="200"/>
        <w:rPr>
          <w:rFonts w:ascii="宋体" w:hAnsi="宋体" w:eastAsia="宋体"/>
          <w:sz w:val="24"/>
          <w:u w:val="single"/>
        </w:rPr>
      </w:pPr>
      <w:r>
        <w:rPr>
          <w:rFonts w:ascii="宋体" w:hAnsi="宋体" w:eastAsia="宋体"/>
          <w:sz w:val="24"/>
          <w:u w:val="single"/>
        </w:rPr>
        <w:t>27）承包人应当将施工现场的办公、生活区与作业区分开设置，并保持安全距离；办公、生活区的选址应当符合安全性要求。职工的膳食、饮水、休息场所等应当符合卫生标准。承包人不得在尚未竣工的建筑物内设置员工集体宿舍。在疫情防控未结束前，项目原则上实行封闭管理，严格按照有关规定落实建筑工人实名制，实时记录施工现场所有人员进出场信息，实行体温检测制度，严禁无关人员进入施工现场，最大限度减少施工现场人员流动。对不能实行封闭管理的工程项目，要明确施工区域，做好建筑工人实名制管理，管控人员流动。有条件的工程项目要做到作业区、办公区和生活区的相对隔离，并对施工现场划分作业区域，根据作业特</w:t>
      </w:r>
      <w:r>
        <w:rPr>
          <w:rFonts w:hint="eastAsia" w:ascii="宋体" w:hAnsi="宋体" w:eastAsia="宋体"/>
          <w:sz w:val="24"/>
          <w:u w:val="single"/>
        </w:rPr>
        <w:t>点定时记录区域内人员信息。有条件设置食堂的，加强人员用餐管理，实施分时分散就餐、使用餐盒等措施，同时加强清洁消毒；无条件设置食堂的，一律实施用餐配送制度，由承包人选择合法经营的用餐配送单位。工地要设置厕所，没有条件设固定的，要设置移动式厕所，应设专人负责</w:t>
      </w:r>
      <w:r>
        <w:rPr>
          <w:rFonts w:ascii="宋体" w:hAnsi="宋体" w:eastAsia="宋体"/>
          <w:sz w:val="24"/>
          <w:u w:val="single"/>
        </w:rPr>
        <w:t>,及时清扫,同时设置洗手点或配备免洗消毒用品，每天定时消毒2次并做好记录。</w:t>
      </w:r>
    </w:p>
    <w:p>
      <w:pPr>
        <w:pStyle w:val="28"/>
        <w:spacing w:line="400" w:lineRule="exact"/>
        <w:ind w:firstLine="480" w:firstLineChars="200"/>
        <w:rPr>
          <w:rFonts w:ascii="宋体" w:hAnsi="宋体" w:eastAsia="宋体"/>
          <w:sz w:val="24"/>
          <w:u w:val="single"/>
        </w:rPr>
      </w:pPr>
      <w:r>
        <w:rPr>
          <w:rFonts w:ascii="宋体" w:hAnsi="宋体" w:eastAsia="宋体"/>
          <w:sz w:val="24"/>
          <w:u w:val="single"/>
        </w:rPr>
        <w:t>28）本工程土方的消纳处理费用已包含在合同总价中，承包人在报价时自行综合考虑。</w:t>
      </w:r>
    </w:p>
    <w:p>
      <w:pPr>
        <w:pStyle w:val="28"/>
        <w:spacing w:line="440" w:lineRule="exact"/>
        <w:ind w:firstLine="480" w:firstLineChars="200"/>
        <w:rPr>
          <w:rFonts w:ascii="宋体" w:hAnsi="宋体" w:eastAsia="宋体"/>
          <w:sz w:val="24"/>
          <w:u w:val="single"/>
        </w:rPr>
      </w:pPr>
      <w:r>
        <w:rPr>
          <w:rFonts w:ascii="宋体" w:hAnsi="宋体" w:eastAsia="宋体"/>
          <w:sz w:val="24"/>
          <w:u w:val="single"/>
        </w:rPr>
        <w:t>29）本工程承包人必</w:t>
      </w:r>
      <w:r>
        <w:rPr>
          <w:rFonts w:hint="eastAsia" w:ascii="宋体" w:hAnsi="宋体" w:eastAsia="宋体"/>
          <w:sz w:val="24"/>
          <w:u w:val="single"/>
        </w:rPr>
        <w:t>须</w:t>
      </w:r>
      <w:r>
        <w:rPr>
          <w:rFonts w:ascii="宋体" w:hAnsi="宋体" w:eastAsia="宋体"/>
          <w:sz w:val="24"/>
          <w:u w:val="single"/>
        </w:rPr>
        <w:t>完善与本工程有关的全过程归档资料（包含前期资料、监理资料等）接收、整理和交接、归档工作，完成后提交发包人完整的资料存档（符合档案资料报送要求）。</w:t>
      </w:r>
    </w:p>
    <w:p>
      <w:pPr>
        <w:pStyle w:val="28"/>
        <w:spacing w:line="440" w:lineRule="exact"/>
        <w:ind w:firstLine="480" w:firstLineChars="200"/>
        <w:rPr>
          <w:rFonts w:ascii="宋体" w:hAnsi="宋体" w:eastAsia="宋体"/>
          <w:sz w:val="24"/>
          <w:u w:val="single"/>
        </w:rPr>
      </w:pPr>
      <w:r>
        <w:rPr>
          <w:rFonts w:ascii="宋体" w:hAnsi="宋体" w:eastAsia="宋体"/>
          <w:sz w:val="24"/>
          <w:u w:val="single"/>
        </w:rPr>
        <w:t>30）本项目涉及保护国防输油管、国防光缆、中国石化及其它相关管线等相关审批事</w:t>
      </w:r>
    </w:p>
    <w:p>
      <w:pPr>
        <w:pStyle w:val="28"/>
        <w:spacing w:line="440" w:lineRule="exact"/>
        <w:rPr>
          <w:rFonts w:ascii="宋体" w:hAnsi="宋体" w:eastAsia="宋体"/>
          <w:sz w:val="24"/>
          <w:u w:val="single"/>
        </w:rPr>
      </w:pPr>
      <w:r>
        <w:rPr>
          <w:rFonts w:hint="eastAsia" w:ascii="宋体" w:hAnsi="宋体" w:eastAsia="宋体"/>
          <w:sz w:val="24"/>
          <w:u w:val="single"/>
        </w:rPr>
        <w:t>项的，均由承包人与相关部门自行协调解决，其相关费用按总价包干包含在响应总价中，结算时不再作调整。</w:t>
      </w:r>
    </w:p>
    <w:p>
      <w:pPr>
        <w:pStyle w:val="28"/>
        <w:spacing w:line="440" w:lineRule="exact"/>
        <w:ind w:firstLine="480" w:firstLineChars="200"/>
        <w:rPr>
          <w:rFonts w:ascii="宋体" w:hAnsi="宋体" w:eastAsia="宋体"/>
          <w:sz w:val="24"/>
        </w:rPr>
      </w:pPr>
      <w:r>
        <w:rPr>
          <w:rFonts w:ascii="宋体" w:hAnsi="宋体" w:eastAsia="宋体"/>
          <w:sz w:val="24"/>
        </w:rPr>
        <w:t xml:space="preserve">3.2 </w:t>
      </w:r>
      <w:r>
        <w:rPr>
          <w:rFonts w:hint="eastAsia" w:ascii="宋体" w:hAnsi="宋体" w:eastAsia="宋体"/>
          <w:sz w:val="24"/>
        </w:rPr>
        <w:t>项目经理</w:t>
      </w:r>
    </w:p>
    <w:p>
      <w:pPr>
        <w:pStyle w:val="28"/>
        <w:spacing w:line="440" w:lineRule="exact"/>
        <w:ind w:firstLine="480" w:firstLineChars="200"/>
        <w:rPr>
          <w:rFonts w:ascii="宋体" w:hAnsi="宋体" w:eastAsia="宋体"/>
          <w:sz w:val="24"/>
        </w:rPr>
      </w:pPr>
      <w:r>
        <w:rPr>
          <w:rFonts w:ascii="宋体" w:hAnsi="宋体" w:eastAsia="宋体"/>
          <w:kern w:val="0"/>
          <w:sz w:val="24"/>
        </w:rPr>
        <w:t xml:space="preserve">3.2.1 </w:t>
      </w:r>
      <w:r>
        <w:rPr>
          <w:rFonts w:hint="eastAsia" w:ascii="宋体" w:hAnsi="宋体" w:eastAsia="宋体"/>
          <w:sz w:val="24"/>
        </w:rPr>
        <w:t>项目经理：</w:t>
      </w:r>
    </w:p>
    <w:p>
      <w:pPr>
        <w:pStyle w:val="28"/>
        <w:spacing w:line="440" w:lineRule="exact"/>
        <w:ind w:firstLine="480" w:firstLineChars="200"/>
        <w:rPr>
          <w:rFonts w:ascii="宋体" w:hAnsi="宋体" w:eastAsia="宋体"/>
          <w:sz w:val="24"/>
        </w:rPr>
      </w:pPr>
      <w:r>
        <w:rPr>
          <w:rFonts w:hint="eastAsia" w:ascii="宋体" w:hAnsi="宋体" w:eastAsia="宋体"/>
          <w:sz w:val="24"/>
        </w:rPr>
        <w:t>姓</w:t>
      </w:r>
      <w:r>
        <w:rPr>
          <w:rFonts w:ascii="宋体" w:hAnsi="宋体" w:eastAsia="宋体"/>
          <w:sz w:val="24"/>
        </w:rPr>
        <w:t xml:space="preserve">    </w:t>
      </w:r>
      <w:r>
        <w:rPr>
          <w:rFonts w:hint="eastAsia" w:ascii="宋体" w:hAnsi="宋体" w:eastAsia="宋体"/>
          <w:sz w:val="24"/>
        </w:rPr>
        <w:t>名：</w:t>
      </w:r>
      <w:r>
        <w:rPr>
          <w:rFonts w:ascii="宋体" w:hAnsi="宋体" w:eastAsia="宋体"/>
          <w:kern w:val="0"/>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身份证号：</w:t>
      </w:r>
      <w:r>
        <w:rPr>
          <w:rFonts w:ascii="宋体" w:hAnsi="宋体" w:eastAsia="宋体"/>
          <w:kern w:val="0"/>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建造师执业资格等级：</w:t>
      </w:r>
      <w:r>
        <w:rPr>
          <w:rFonts w:ascii="宋体" w:hAnsi="宋体" w:eastAsia="宋体"/>
          <w:kern w:val="0"/>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建造师注册证书号：</w:t>
      </w:r>
      <w:r>
        <w:rPr>
          <w:rFonts w:ascii="宋体" w:hAnsi="宋体" w:eastAsia="宋体"/>
          <w:kern w:val="0"/>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建造师执业印章号：</w:t>
      </w:r>
      <w:r>
        <w:rPr>
          <w:rFonts w:ascii="宋体" w:hAnsi="宋体" w:eastAsia="宋体"/>
          <w:kern w:val="0"/>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安全生产考核合格证书号：</w:t>
      </w:r>
      <w:r>
        <w:rPr>
          <w:rFonts w:ascii="宋体" w:hAnsi="宋体" w:eastAsia="宋体"/>
          <w:kern w:val="0"/>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联系电话：</w:t>
      </w:r>
      <w:r>
        <w:rPr>
          <w:rFonts w:ascii="宋体" w:hAnsi="宋体" w:eastAsia="宋体"/>
          <w:kern w:val="0"/>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电子信箱：</w:t>
      </w:r>
      <w:r>
        <w:rPr>
          <w:rFonts w:ascii="宋体" w:hAnsi="宋体" w:eastAsia="宋体"/>
          <w:kern w:val="0"/>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通信地址：</w:t>
      </w:r>
      <w:r>
        <w:rPr>
          <w:rFonts w:ascii="宋体" w:hAnsi="宋体" w:eastAsia="宋体"/>
          <w:kern w:val="0"/>
          <w:sz w:val="24"/>
          <w:u w:val="single"/>
        </w:rPr>
        <w:t xml:space="preserve">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承包人对项目经理的授权范围如下：</w:t>
      </w:r>
      <w:r>
        <w:rPr>
          <w:rFonts w:hint="eastAsia" w:ascii="宋体" w:hAnsi="宋体" w:eastAsia="宋体"/>
          <w:sz w:val="24"/>
          <w:u w:val="single"/>
        </w:rPr>
        <w:t>项目经理作为本工程施工的项目负责人，必须常驻现场，不能兼其他在建项目，代表承包人履行与发包人签订的本建设工程合同的责任和义务，在项目实施过程中，项目经理代表承包人所签订的一切合同文书，承包人均予以认可</w:t>
      </w:r>
      <w:r>
        <w:rPr>
          <w:rFonts w:hint="eastAsia" w:ascii="宋体" w:hAnsi="宋体" w:eastAsia="宋体"/>
          <w:sz w:val="24"/>
        </w:rPr>
        <w:t>。</w:t>
      </w:r>
    </w:p>
    <w:p>
      <w:pPr>
        <w:pStyle w:val="28"/>
        <w:adjustRightInd w:val="0"/>
        <w:spacing w:line="420" w:lineRule="atLeast"/>
        <w:ind w:firstLine="482" w:firstLineChars="200"/>
        <w:jc w:val="left"/>
        <w:rPr>
          <w:rFonts w:ascii="宋体" w:hAnsi="宋体" w:eastAsia="宋体"/>
          <w:kern w:val="0"/>
          <w:u w:val="single"/>
        </w:rPr>
      </w:pPr>
      <w:r>
        <w:rPr>
          <w:rFonts w:hint="eastAsia" w:ascii="宋体" w:hAnsi="宋体" w:eastAsia="宋体"/>
          <w:b/>
          <w:bCs/>
          <w:kern w:val="0"/>
          <w:sz w:val="24"/>
          <w:u w:val="single"/>
        </w:rPr>
        <w:t>项目经理须于本工程成交结果公示之日起第</w:t>
      </w:r>
      <w:r>
        <w:rPr>
          <w:rFonts w:ascii="宋体" w:hAnsi="宋体" w:eastAsia="宋体"/>
          <w:b/>
          <w:bCs/>
          <w:kern w:val="0"/>
          <w:sz w:val="24"/>
          <w:u w:val="single"/>
        </w:rPr>
        <w:t>4日开始进场，否则，每延误一天进场，发包人有权扣除承包人违约金人民币10000元。</w:t>
      </w:r>
    </w:p>
    <w:p>
      <w:pPr>
        <w:pStyle w:val="28"/>
        <w:spacing w:line="440" w:lineRule="exact"/>
        <w:ind w:firstLine="480" w:firstLineChars="200"/>
        <w:jc w:val="left"/>
        <w:rPr>
          <w:rFonts w:ascii="宋体" w:hAnsi="宋体" w:eastAsia="宋体"/>
          <w:sz w:val="24"/>
          <w:u w:val="single"/>
        </w:rPr>
      </w:pPr>
      <w:r>
        <w:rPr>
          <w:rFonts w:hint="eastAsia" w:ascii="宋体" w:hAnsi="宋体" w:eastAsia="宋体"/>
          <w:kern w:val="0"/>
          <w:sz w:val="24"/>
        </w:rPr>
        <w:t>关于项目经理每月在施工现场的时间要求：</w:t>
      </w:r>
      <w:r>
        <w:rPr>
          <w:rFonts w:hint="eastAsia" w:ascii="宋体" w:hAnsi="宋体" w:eastAsia="宋体"/>
          <w:sz w:val="24"/>
          <w:u w:val="single"/>
        </w:rPr>
        <w:t>必须保证法定工作日内在施工现场和参与每次的工程例会。</w:t>
      </w:r>
    </w:p>
    <w:p>
      <w:pPr>
        <w:pStyle w:val="28"/>
        <w:spacing w:line="360" w:lineRule="auto"/>
        <w:ind w:firstLine="480"/>
        <w:jc w:val="left"/>
        <w:rPr>
          <w:rFonts w:ascii="宋体" w:hAnsi="宋体" w:eastAsia="宋体"/>
          <w:kern w:val="0"/>
          <w:sz w:val="24"/>
        </w:rPr>
      </w:pPr>
      <w:r>
        <w:rPr>
          <w:rFonts w:hint="eastAsia" w:ascii="宋体" w:hAnsi="宋体" w:eastAsia="宋体"/>
          <w:kern w:val="0"/>
          <w:sz w:val="24"/>
        </w:rPr>
        <w:t>承包人不得随意更换项目负责人，发生下列情形之一的除外：</w:t>
      </w:r>
    </w:p>
    <w:p>
      <w:pPr>
        <w:pStyle w:val="28"/>
        <w:spacing w:line="360" w:lineRule="auto"/>
        <w:ind w:firstLine="480"/>
        <w:jc w:val="left"/>
        <w:rPr>
          <w:rFonts w:ascii="宋体" w:hAnsi="宋体" w:eastAsia="宋体"/>
          <w:kern w:val="0"/>
          <w:sz w:val="24"/>
        </w:rPr>
      </w:pPr>
      <w:r>
        <w:rPr>
          <w:rFonts w:hint="eastAsia" w:ascii="宋体" w:hAnsi="宋体" w:eastAsia="宋体"/>
          <w:kern w:val="0"/>
          <w:sz w:val="24"/>
        </w:rPr>
        <w:t>①因重病或重伤两个月以上不能履行职责的；</w:t>
      </w:r>
    </w:p>
    <w:p>
      <w:pPr>
        <w:pStyle w:val="28"/>
        <w:spacing w:line="360" w:lineRule="auto"/>
        <w:ind w:firstLine="480"/>
        <w:jc w:val="left"/>
        <w:rPr>
          <w:rFonts w:ascii="宋体" w:hAnsi="宋体" w:eastAsia="宋体"/>
          <w:kern w:val="0"/>
          <w:sz w:val="24"/>
        </w:rPr>
      </w:pPr>
      <w:r>
        <w:rPr>
          <w:rFonts w:hint="eastAsia" w:ascii="宋体" w:hAnsi="宋体" w:eastAsia="宋体"/>
          <w:kern w:val="0"/>
          <w:sz w:val="24"/>
        </w:rPr>
        <w:t>②主动辞职或调离原工作单位的；</w:t>
      </w:r>
    </w:p>
    <w:p>
      <w:pPr>
        <w:pStyle w:val="28"/>
        <w:spacing w:line="360" w:lineRule="auto"/>
        <w:ind w:firstLine="480"/>
        <w:jc w:val="left"/>
        <w:rPr>
          <w:rFonts w:ascii="宋体" w:hAnsi="宋体" w:eastAsia="宋体"/>
          <w:kern w:val="0"/>
          <w:sz w:val="24"/>
        </w:rPr>
      </w:pPr>
      <w:r>
        <w:rPr>
          <w:rFonts w:hint="eastAsia" w:ascii="宋体" w:hAnsi="宋体" w:eastAsia="宋体"/>
          <w:kern w:val="0"/>
          <w:sz w:val="24"/>
        </w:rPr>
        <w:t>③因管理原因发生重大工程质量、安全事故，承包人认为该项目负责人不称职或监理单位认为该项目负责人不称职需要更换的；</w:t>
      </w:r>
    </w:p>
    <w:p>
      <w:pPr>
        <w:pStyle w:val="28"/>
        <w:spacing w:line="360" w:lineRule="auto"/>
        <w:ind w:firstLine="480"/>
        <w:jc w:val="left"/>
        <w:rPr>
          <w:rFonts w:ascii="宋体" w:hAnsi="宋体" w:eastAsia="宋体"/>
          <w:kern w:val="0"/>
          <w:sz w:val="24"/>
        </w:rPr>
      </w:pPr>
      <w:r>
        <w:rPr>
          <w:rFonts w:hint="eastAsia" w:ascii="宋体" w:hAnsi="宋体" w:eastAsia="宋体"/>
          <w:kern w:val="0"/>
          <w:sz w:val="24"/>
        </w:rPr>
        <w:t>④无能力履行合同的责任和义务，造成严重后果，发包人要求更换的；</w:t>
      </w:r>
    </w:p>
    <w:p>
      <w:pPr>
        <w:pStyle w:val="28"/>
        <w:spacing w:line="360" w:lineRule="auto"/>
        <w:ind w:firstLine="480"/>
        <w:jc w:val="left"/>
        <w:rPr>
          <w:rFonts w:ascii="宋体" w:hAnsi="宋体" w:eastAsia="宋体"/>
          <w:kern w:val="0"/>
          <w:sz w:val="24"/>
        </w:rPr>
      </w:pPr>
      <w:r>
        <w:rPr>
          <w:rFonts w:hint="eastAsia" w:ascii="宋体" w:hAnsi="宋体" w:eastAsia="宋体"/>
          <w:kern w:val="0"/>
          <w:sz w:val="24"/>
        </w:rPr>
        <w:t>⑤因违法被责令停止执业的；</w:t>
      </w:r>
    </w:p>
    <w:p>
      <w:pPr>
        <w:pStyle w:val="28"/>
        <w:spacing w:line="360" w:lineRule="auto"/>
        <w:ind w:firstLine="480"/>
        <w:jc w:val="left"/>
        <w:rPr>
          <w:rFonts w:ascii="宋体" w:hAnsi="宋体" w:eastAsia="宋体"/>
          <w:kern w:val="0"/>
          <w:sz w:val="24"/>
        </w:rPr>
      </w:pPr>
      <w:r>
        <w:rPr>
          <w:rFonts w:hint="eastAsia" w:ascii="宋体" w:hAnsi="宋体" w:eastAsia="宋体"/>
          <w:kern w:val="0"/>
          <w:sz w:val="24"/>
        </w:rPr>
        <w:t>⑥因犯罪被关押或判刑的；</w:t>
      </w:r>
    </w:p>
    <w:p>
      <w:pPr>
        <w:pStyle w:val="28"/>
        <w:spacing w:line="360" w:lineRule="auto"/>
        <w:ind w:firstLine="480"/>
        <w:jc w:val="left"/>
        <w:rPr>
          <w:rFonts w:ascii="宋体" w:hAnsi="宋体" w:eastAsia="宋体"/>
          <w:kern w:val="0"/>
          <w:sz w:val="24"/>
        </w:rPr>
      </w:pPr>
      <w:r>
        <w:rPr>
          <w:rFonts w:hint="eastAsia" w:ascii="宋体" w:hAnsi="宋体" w:eastAsia="宋体"/>
          <w:kern w:val="0"/>
          <w:sz w:val="24"/>
        </w:rPr>
        <w:t>⑦死亡。</w:t>
      </w:r>
    </w:p>
    <w:p>
      <w:pPr>
        <w:pStyle w:val="28"/>
        <w:spacing w:line="360" w:lineRule="auto"/>
        <w:ind w:firstLine="480"/>
        <w:jc w:val="left"/>
        <w:rPr>
          <w:rFonts w:ascii="宋体" w:hAnsi="宋体" w:eastAsia="宋体"/>
          <w:kern w:val="0"/>
          <w:sz w:val="24"/>
        </w:rPr>
      </w:pPr>
      <w:r>
        <w:rPr>
          <w:rFonts w:hint="eastAsia" w:ascii="宋体" w:hAnsi="宋体" w:eastAsia="宋体"/>
          <w:kern w:val="0"/>
          <w:sz w:val="24"/>
        </w:rPr>
        <w:t>承包人如需更换项目负责人，应至少提前</w:t>
      </w:r>
      <w:r>
        <w:rPr>
          <w:rFonts w:ascii="宋体" w:hAnsi="宋体" w:eastAsia="宋体"/>
          <w:kern w:val="0"/>
          <w:sz w:val="24"/>
        </w:rPr>
        <w:t>7天以书面形式通知发包人及监理工程师，并征得发包人及监理工程师的书面同意。更换人员与被更换人员必须至少有相等的资历；同时承包人须将更换人员的相关资料如任职证明、专业资格证书等复印件报发包人、监理工程师及相关行政主管部门备案。后任人员继续行使合同文件约定的前任的职权，履行前任的义务。未征得发包人书面同意，承包人不得更换项目负责人。</w:t>
      </w:r>
    </w:p>
    <w:p>
      <w:pPr>
        <w:pStyle w:val="28"/>
        <w:spacing w:line="360" w:lineRule="auto"/>
        <w:ind w:firstLine="480"/>
        <w:jc w:val="left"/>
        <w:rPr>
          <w:rFonts w:ascii="宋体" w:hAnsi="宋体" w:eastAsia="宋体"/>
          <w:kern w:val="0"/>
          <w:sz w:val="24"/>
        </w:rPr>
      </w:pPr>
      <w:r>
        <w:rPr>
          <w:rFonts w:hint="eastAsia" w:ascii="宋体" w:hAnsi="宋体" w:eastAsia="宋体"/>
          <w:kern w:val="0"/>
          <w:sz w:val="24"/>
        </w:rPr>
        <w:t>发包人可以与承包人协商，建议其更换认为不称职的项目负责人及相关管理人员，承包人应及时采纳发包人的建议予以更换，并在发包人发出建议书后七天内给予更换书面回复。</w:t>
      </w:r>
    </w:p>
    <w:p>
      <w:pPr>
        <w:pStyle w:val="28"/>
        <w:adjustRightInd w:val="0"/>
        <w:spacing w:line="420" w:lineRule="atLeast"/>
        <w:jc w:val="left"/>
        <w:rPr>
          <w:rFonts w:ascii="宋体" w:hAnsi="宋体" w:eastAsia="宋体"/>
          <w:kern w:val="0"/>
        </w:rPr>
      </w:pPr>
      <w:r>
        <w:rPr>
          <w:rFonts w:hint="eastAsia" w:ascii="宋体" w:hAnsi="宋体" w:eastAsia="宋体"/>
          <w:kern w:val="0"/>
          <w:sz w:val="24"/>
        </w:rPr>
        <w:t>承包人必须按响应文件中和本合同专用条款</w:t>
      </w:r>
      <w:r>
        <w:rPr>
          <w:rFonts w:ascii="宋体" w:hAnsi="宋体" w:eastAsia="宋体"/>
          <w:kern w:val="0"/>
          <w:sz w:val="24"/>
        </w:rPr>
        <w:t>3.3.6条要求的人员、设备安排进驻施工现场。人员按本合同专用条款3.3.6条要求提供，发包人将开工时进行检查。承包人必须保证该项目的项目负责人、技术负责人、安全员、施工员必须常驻施工现场，</w:t>
      </w:r>
      <w:r>
        <w:rPr>
          <w:rFonts w:hint="eastAsia" w:ascii="宋体" w:hAnsi="宋体" w:eastAsia="宋体"/>
          <w:kern w:val="0"/>
          <w:sz w:val="24"/>
          <w:u w:val="single"/>
        </w:rPr>
        <w:t>否则将视为承包人违约，如项目负责人、技术负责人缺席，发包人有权扣除承包人</w:t>
      </w:r>
      <w:r>
        <w:rPr>
          <w:rFonts w:ascii="宋体" w:hAnsi="宋体" w:eastAsia="宋体"/>
          <w:kern w:val="0"/>
          <w:sz w:val="24"/>
          <w:u w:val="single"/>
        </w:rPr>
        <w:t>10000元人民币/天的违约金；如安全员、施工员缺席，发包人有权扣除承包人5000元人民币/天的违约金。</w:t>
      </w:r>
      <w:r>
        <w:rPr>
          <w:rFonts w:hint="eastAsia" w:ascii="宋体" w:hAnsi="宋体" w:eastAsia="宋体"/>
          <w:kern w:val="0"/>
          <w:sz w:val="24"/>
        </w:rPr>
        <w:t>项目负责人、技术负责人、安全员、施工员且须无条件参加每周的工地例会以及双方约定的其他重要会议，如有缺席，则项目负责人、技术负责人每缺席一次发包人有权对承包人扣除</w:t>
      </w:r>
      <w:r>
        <w:rPr>
          <w:rFonts w:ascii="宋体" w:hAnsi="宋体" w:eastAsia="宋体"/>
          <w:kern w:val="0"/>
          <w:sz w:val="24"/>
        </w:rPr>
        <w:t>5000元人民币违约金；安全员、施工员每缺席一次发包人有权对承包人扣除5000元人民币违约金。</w:t>
      </w:r>
    </w:p>
    <w:p>
      <w:pPr>
        <w:pStyle w:val="28"/>
        <w:widowControl/>
        <w:spacing w:line="440" w:lineRule="exact"/>
        <w:ind w:firstLine="480"/>
        <w:rPr>
          <w:rFonts w:ascii="宋体" w:hAnsi="宋体" w:eastAsia="宋体"/>
          <w:b/>
          <w:kern w:val="0"/>
          <w:sz w:val="24"/>
          <w:u w:val="single"/>
        </w:rPr>
      </w:pPr>
      <w:r>
        <w:rPr>
          <w:rFonts w:hint="eastAsia" w:ascii="宋体" w:hAnsi="宋体" w:eastAsia="宋体"/>
          <w:kern w:val="0"/>
          <w:sz w:val="24"/>
        </w:rPr>
        <w:t>承包人未提交劳动合同，以及没有为项目经理缴纳社会保险证明的违约责任：</w:t>
      </w:r>
      <w:r>
        <w:rPr>
          <w:rFonts w:hint="eastAsia" w:ascii="宋体" w:hAnsi="宋体" w:eastAsia="宋体"/>
          <w:kern w:val="0"/>
          <w:sz w:val="24"/>
          <w:u w:val="single"/>
        </w:rPr>
        <w:t>发包人有权终止施工合同，并有权在合同款中扣除承包人</w:t>
      </w:r>
      <w:r>
        <w:rPr>
          <w:rFonts w:ascii="宋体" w:hAnsi="宋体" w:eastAsia="宋体"/>
          <w:kern w:val="0"/>
          <w:sz w:val="24"/>
          <w:u w:val="single"/>
        </w:rPr>
        <w:t>5万元人民币违约金，同时将视为刻意隐瞒事实、弄虚作假骗取</w:t>
      </w:r>
      <w:r>
        <w:rPr>
          <w:rFonts w:hint="eastAsia" w:ascii="宋体" w:hAnsi="宋体" w:eastAsia="宋体"/>
          <w:kern w:val="0"/>
          <w:sz w:val="24"/>
          <w:u w:val="single"/>
        </w:rPr>
        <w:t>成交</w:t>
      </w:r>
      <w:r>
        <w:rPr>
          <w:rFonts w:hint="eastAsia" w:ascii="宋体" w:hAnsi="宋体" w:eastAsia="宋体"/>
          <w:kern w:val="0"/>
          <w:sz w:val="24"/>
        </w:rPr>
        <w:t>。</w:t>
      </w:r>
    </w:p>
    <w:p>
      <w:pPr>
        <w:pStyle w:val="28"/>
        <w:widowControl/>
        <w:spacing w:line="440" w:lineRule="exact"/>
        <w:ind w:firstLine="480"/>
        <w:rPr>
          <w:rFonts w:ascii="宋体" w:hAnsi="宋体" w:eastAsia="宋体"/>
          <w:kern w:val="0"/>
          <w:sz w:val="24"/>
        </w:rPr>
      </w:pPr>
      <w:r>
        <w:rPr>
          <w:rFonts w:ascii="宋体" w:hAnsi="宋体" w:eastAsia="宋体"/>
          <w:kern w:val="0"/>
          <w:sz w:val="24"/>
        </w:rPr>
        <w:t xml:space="preserve">3.2.3 </w:t>
      </w:r>
      <w:r>
        <w:rPr>
          <w:rFonts w:hint="eastAsia" w:ascii="宋体" w:hAnsi="宋体" w:eastAsia="宋体"/>
          <w:kern w:val="0"/>
          <w:sz w:val="24"/>
        </w:rPr>
        <w:t>承包人擅自更换项目经理的违约责任：</w:t>
      </w:r>
      <w:r>
        <w:rPr>
          <w:rFonts w:hint="eastAsia" w:ascii="宋体" w:hAnsi="宋体" w:eastAsia="宋体"/>
          <w:sz w:val="24"/>
          <w:u w:val="single"/>
        </w:rPr>
        <w:t>视为承包人违约，发包人有权终止施工合同，</w:t>
      </w:r>
      <w:r>
        <w:rPr>
          <w:rFonts w:hint="eastAsia" w:ascii="宋体" w:hAnsi="宋体" w:eastAsia="宋体"/>
          <w:kern w:val="0"/>
          <w:sz w:val="24"/>
          <w:u w:val="single"/>
        </w:rPr>
        <w:t>并有权在合同款中扣除承包人</w:t>
      </w:r>
      <w:r>
        <w:rPr>
          <w:rFonts w:ascii="宋体" w:hAnsi="宋体" w:eastAsia="宋体"/>
          <w:kern w:val="0"/>
          <w:sz w:val="24"/>
          <w:u w:val="single"/>
        </w:rPr>
        <w:t>5万元人民币违约金</w:t>
      </w:r>
      <w:r>
        <w:rPr>
          <w:rFonts w:hint="eastAsia" w:ascii="宋体" w:hAnsi="宋体" w:eastAsia="宋体"/>
          <w:kern w:val="0"/>
          <w:sz w:val="24"/>
        </w:rPr>
        <w:t>。</w:t>
      </w:r>
    </w:p>
    <w:p>
      <w:pPr>
        <w:pStyle w:val="28"/>
        <w:widowControl/>
        <w:spacing w:line="440" w:lineRule="exact"/>
        <w:rPr>
          <w:rFonts w:ascii="宋体" w:hAnsi="宋体" w:eastAsia="宋体"/>
          <w:kern w:val="0"/>
          <w:sz w:val="24"/>
        </w:rPr>
      </w:pPr>
      <w:r>
        <w:rPr>
          <w:rFonts w:ascii="宋体" w:hAnsi="宋体" w:eastAsia="宋体"/>
          <w:kern w:val="0"/>
          <w:sz w:val="24"/>
        </w:rPr>
        <w:t xml:space="preserve">    3.2.4 承包人无正当理由拒绝更换项目经理的违约责任：</w:t>
      </w:r>
      <w:r>
        <w:rPr>
          <w:rFonts w:hint="eastAsia" w:ascii="宋体" w:hAnsi="宋体" w:eastAsia="宋体"/>
          <w:sz w:val="24"/>
          <w:u w:val="single"/>
        </w:rPr>
        <w:t>视为承包人违约，发包人有权终止施工合同，</w:t>
      </w:r>
      <w:r>
        <w:rPr>
          <w:rFonts w:hint="eastAsia" w:ascii="宋体" w:hAnsi="宋体" w:eastAsia="宋体"/>
          <w:kern w:val="0"/>
          <w:sz w:val="24"/>
          <w:u w:val="single"/>
        </w:rPr>
        <w:t>并有权在合同款中扣除承包人</w:t>
      </w:r>
      <w:r>
        <w:rPr>
          <w:rFonts w:ascii="宋体" w:hAnsi="宋体" w:eastAsia="宋体"/>
          <w:kern w:val="0"/>
          <w:sz w:val="24"/>
          <w:u w:val="single"/>
        </w:rPr>
        <w:t>10万元人民币违约金</w:t>
      </w:r>
      <w:r>
        <w:rPr>
          <w:rFonts w:hint="eastAsia" w:ascii="宋体" w:hAnsi="宋体" w:eastAsia="宋体"/>
          <w:kern w:val="0"/>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3.3 </w:t>
      </w:r>
      <w:r>
        <w:rPr>
          <w:rFonts w:hint="eastAsia" w:ascii="宋体" w:hAnsi="宋体" w:eastAsia="宋体"/>
          <w:sz w:val="24"/>
        </w:rPr>
        <w:t>承包人人员</w:t>
      </w:r>
    </w:p>
    <w:p>
      <w:pPr>
        <w:pStyle w:val="28"/>
        <w:spacing w:line="440" w:lineRule="exact"/>
        <w:ind w:firstLine="480" w:firstLineChars="200"/>
        <w:rPr>
          <w:rFonts w:ascii="宋体" w:hAnsi="宋体" w:eastAsia="宋体"/>
          <w:sz w:val="24"/>
        </w:rPr>
      </w:pPr>
      <w:r>
        <w:rPr>
          <w:rFonts w:ascii="宋体" w:hAnsi="宋体" w:eastAsia="宋体"/>
          <w:sz w:val="24"/>
        </w:rPr>
        <w:t xml:space="preserve">3.3.1 </w:t>
      </w:r>
      <w:r>
        <w:rPr>
          <w:rFonts w:hint="eastAsia" w:ascii="宋体" w:hAnsi="宋体" w:eastAsia="宋体"/>
          <w:sz w:val="24"/>
        </w:rPr>
        <w:t>承包人提交项目管理机构及施工现场管理人员安排报告的期限：</w:t>
      </w:r>
      <w:r>
        <w:rPr>
          <w:rFonts w:hint="eastAsia" w:ascii="宋体" w:hAnsi="宋体" w:eastAsia="宋体"/>
          <w:sz w:val="24"/>
          <w:u w:val="single"/>
        </w:rPr>
        <w:t>签订施工合同前</w:t>
      </w:r>
      <w:r>
        <w:rPr>
          <w:rFonts w:hint="eastAsia" w:ascii="宋体" w:hAnsi="宋体" w:eastAsia="宋体"/>
          <w:sz w:val="24"/>
        </w:rPr>
        <w:t>。</w:t>
      </w:r>
    </w:p>
    <w:p>
      <w:pPr>
        <w:pStyle w:val="28"/>
        <w:spacing w:line="440" w:lineRule="exact"/>
        <w:ind w:firstLine="480" w:firstLineChars="200"/>
        <w:rPr>
          <w:rFonts w:ascii="宋体" w:hAnsi="宋体" w:eastAsia="宋体"/>
          <w:sz w:val="24"/>
          <w:u w:val="single"/>
        </w:rPr>
      </w:pPr>
      <w:r>
        <w:rPr>
          <w:rFonts w:ascii="宋体" w:hAnsi="宋体" w:eastAsia="宋体"/>
          <w:sz w:val="24"/>
        </w:rPr>
        <w:t xml:space="preserve">3.3.3 </w:t>
      </w:r>
      <w:r>
        <w:rPr>
          <w:rFonts w:hint="eastAsia" w:ascii="宋体" w:hAnsi="宋体" w:eastAsia="宋体"/>
          <w:sz w:val="24"/>
        </w:rPr>
        <w:t>承包人无正当理由拒绝撤换主要施工管理人员的违约责任：</w:t>
      </w:r>
      <w:r>
        <w:rPr>
          <w:rFonts w:hint="eastAsia" w:ascii="宋体" w:hAnsi="宋体" w:eastAsia="宋体"/>
          <w:sz w:val="24"/>
          <w:u w:val="single"/>
        </w:rPr>
        <w:t>视为承包人违约，发包人有权终止合同，</w:t>
      </w:r>
      <w:r>
        <w:rPr>
          <w:rFonts w:hint="eastAsia" w:ascii="宋体" w:hAnsi="宋体" w:eastAsia="宋体"/>
          <w:kern w:val="0"/>
          <w:sz w:val="24"/>
          <w:u w:val="single"/>
        </w:rPr>
        <w:t>并有权在合同款中扣除承包人</w:t>
      </w:r>
      <w:r>
        <w:rPr>
          <w:rFonts w:ascii="宋体" w:hAnsi="宋体" w:eastAsia="宋体"/>
          <w:kern w:val="0"/>
          <w:sz w:val="24"/>
          <w:u w:val="single"/>
        </w:rPr>
        <w:t>3万元人民币违约金</w:t>
      </w:r>
      <w:r>
        <w:rPr>
          <w:rFonts w:hint="eastAsia" w:ascii="宋体" w:hAnsi="宋体" w:eastAsia="宋体"/>
          <w:sz w:val="24"/>
          <w:u w:val="single"/>
        </w:rPr>
        <w:t>。在发包人同意的前提下，承包人在施工进场时如因特殊原因确需对技术负责人进行调整，所代替的人选在资格、资历、能力等方面均不得低于原来的人选，同时须向发包人提交违约金。</w:t>
      </w:r>
    </w:p>
    <w:p>
      <w:pPr>
        <w:pStyle w:val="28"/>
        <w:spacing w:line="440" w:lineRule="exact"/>
        <w:ind w:firstLine="480" w:firstLineChars="200"/>
        <w:rPr>
          <w:rFonts w:ascii="宋体" w:hAnsi="宋体" w:eastAsia="宋体"/>
          <w:sz w:val="24"/>
          <w:u w:val="single"/>
        </w:rPr>
      </w:pPr>
      <w:r>
        <w:rPr>
          <w:rFonts w:ascii="宋体" w:hAnsi="宋体" w:eastAsia="宋体"/>
          <w:sz w:val="24"/>
        </w:rPr>
        <w:t xml:space="preserve">3.3.4 </w:t>
      </w:r>
      <w:r>
        <w:rPr>
          <w:rFonts w:hint="eastAsia" w:ascii="宋体" w:hAnsi="宋体" w:eastAsia="宋体"/>
          <w:sz w:val="24"/>
        </w:rPr>
        <w:t>承包人主要施工管理人员离开施工现场的批准要求：</w:t>
      </w:r>
      <w:r>
        <w:rPr>
          <w:rFonts w:hint="eastAsia" w:ascii="宋体" w:hAnsi="宋体" w:eastAsia="宋体"/>
          <w:sz w:val="24"/>
          <w:u w:val="single"/>
        </w:rPr>
        <w:t>离开</w:t>
      </w:r>
      <w:r>
        <w:rPr>
          <w:rFonts w:ascii="宋体" w:hAnsi="宋体" w:eastAsia="宋体"/>
          <w:sz w:val="24"/>
          <w:u w:val="single"/>
        </w:rPr>
        <w:t>2天以内的应事先征得监理人同意，并委派代表代行其职责；若离开2天以上的应事先申报监理人获发包人同意，委派代表代行其职责</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3.3.5承包人擅自更换主要施工管理人员的违约责任：</w:t>
      </w:r>
      <w:r>
        <w:rPr>
          <w:rFonts w:hint="eastAsia" w:ascii="宋体" w:hAnsi="宋体" w:eastAsia="宋体"/>
          <w:sz w:val="24"/>
          <w:u w:val="single"/>
        </w:rPr>
        <w:t>视为承包人违约，发包人有权终止合同，</w:t>
      </w:r>
      <w:r>
        <w:rPr>
          <w:rFonts w:hint="eastAsia" w:ascii="宋体" w:hAnsi="宋体" w:eastAsia="宋体"/>
          <w:kern w:val="0"/>
          <w:sz w:val="24"/>
          <w:u w:val="single"/>
        </w:rPr>
        <w:t>并有权在合同款中扣除承包人</w:t>
      </w:r>
      <w:r>
        <w:rPr>
          <w:rFonts w:ascii="宋体" w:hAnsi="宋体" w:eastAsia="宋体"/>
          <w:kern w:val="0"/>
          <w:sz w:val="24"/>
          <w:u w:val="single"/>
        </w:rPr>
        <w:t>3万元人民币违约金</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承包人主要施工管理人员擅自离开施工现场的违约责任：</w:t>
      </w:r>
      <w:r>
        <w:rPr>
          <w:rFonts w:hint="eastAsia" w:ascii="宋体" w:hAnsi="宋体" w:eastAsia="宋体"/>
          <w:sz w:val="24"/>
          <w:u w:val="single"/>
        </w:rPr>
        <w:t>视为承包人违约，如项目负责人、技术负责人缺席，发包人有权扣除承包人</w:t>
      </w:r>
      <w:r>
        <w:rPr>
          <w:rFonts w:ascii="宋体" w:hAnsi="宋体" w:eastAsia="宋体"/>
          <w:kern w:val="0"/>
          <w:sz w:val="24"/>
          <w:u w:val="single"/>
        </w:rPr>
        <w:t>10000元人民币/天的违约金；如安全员、施工员缺席，</w:t>
      </w:r>
      <w:r>
        <w:rPr>
          <w:rFonts w:hint="eastAsia" w:ascii="宋体" w:hAnsi="宋体" w:eastAsia="宋体"/>
          <w:sz w:val="24"/>
          <w:u w:val="single"/>
        </w:rPr>
        <w:t>发包人有权扣除承包人</w:t>
      </w:r>
      <w:r>
        <w:rPr>
          <w:rFonts w:ascii="宋体" w:hAnsi="宋体" w:eastAsia="宋体"/>
          <w:kern w:val="0"/>
          <w:sz w:val="24"/>
          <w:u w:val="single"/>
        </w:rPr>
        <w:t>5000元人民币/天的违约金；</w:t>
      </w:r>
      <w:r>
        <w:rPr>
          <w:rFonts w:hint="eastAsia" w:ascii="宋体" w:hAnsi="宋体" w:eastAsia="宋体"/>
          <w:sz w:val="24"/>
          <w:u w:val="single"/>
        </w:rPr>
        <w:t>直至缺员进场为止</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3.3.6合同对承包人的各类人员的到位情况和任职是作为一种条件来要求的（特别是项目经理部的主要管理人员、主要技术人员）。合同签订后，项目班子主要成员不到位，则发包人不签发开工令；承包人主要施工管理人员离开工地应向监理工程师请假经过批准后才能离开，擅自离开工地，发包人将发出停工令，待人员回到岗位后才批准复工，由此产生的工期及经济损失承包人自负，造成发包人损失的，发包人保留索赔的权利。</w:t>
      </w:r>
    </w:p>
    <w:p>
      <w:pPr>
        <w:pStyle w:val="28"/>
        <w:spacing w:line="440" w:lineRule="exact"/>
        <w:ind w:firstLine="480" w:firstLineChars="200"/>
        <w:rPr>
          <w:rFonts w:ascii="宋体" w:hAnsi="宋体" w:eastAsia="宋体"/>
          <w:sz w:val="24"/>
        </w:rPr>
      </w:pPr>
      <w:r>
        <w:rPr>
          <w:rFonts w:hint="eastAsia" w:ascii="宋体" w:hAnsi="宋体" w:eastAsia="宋体"/>
          <w:sz w:val="24"/>
        </w:rPr>
        <w:t>对于不胜任工作的承包人人员，当监理工程师要求更换时，承包人必须立即予以更换，并不得再在本合同工程供职。</w:t>
      </w:r>
      <w:r>
        <w:rPr>
          <w:rFonts w:hint="eastAsia" w:ascii="宋体" w:hAnsi="宋体" w:eastAsia="宋体"/>
          <w:sz w:val="24"/>
          <w:u w:val="single"/>
        </w:rPr>
        <w:t>若承包人没能及时更换的，发包人有权扣除承包人</w:t>
      </w:r>
      <w:r>
        <w:rPr>
          <w:rFonts w:ascii="宋体" w:hAnsi="宋体" w:eastAsia="宋体"/>
          <w:kern w:val="0"/>
          <w:sz w:val="24"/>
          <w:u w:val="single"/>
        </w:rPr>
        <w:t>10000元人民币/天的违约金，</w:t>
      </w:r>
      <w:r>
        <w:rPr>
          <w:rFonts w:hint="eastAsia" w:ascii="宋体" w:hAnsi="宋体" w:eastAsia="宋体"/>
          <w:sz w:val="24"/>
          <w:u w:val="single"/>
        </w:rPr>
        <w:t>直至缺员进场为止</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承包人人员资格的特别规定：所有特殊工种人员、各种领班以上人员均应符合有关规定的资质，并且应持有该项工作的上岗证，在施工期间佩带其上岗证供驻地监理工程师随时检查。在特殊工种的施工中，若发现不佩带上岗证的人员施工，则按每发现一次，有权扣除承包人¥</w:t>
      </w:r>
      <w:r>
        <w:rPr>
          <w:rFonts w:ascii="宋体" w:hAnsi="宋体" w:eastAsia="宋体"/>
          <w:sz w:val="24"/>
        </w:rPr>
        <w:t>100元/人·次的违约金。</w:t>
      </w:r>
    </w:p>
    <w:p>
      <w:pPr>
        <w:pStyle w:val="28"/>
        <w:spacing w:line="440" w:lineRule="exact"/>
        <w:ind w:firstLine="480" w:firstLineChars="200"/>
        <w:rPr>
          <w:rFonts w:ascii="宋体" w:hAnsi="宋体" w:eastAsia="宋体"/>
          <w:sz w:val="24"/>
        </w:rPr>
      </w:pPr>
      <w:r>
        <w:rPr>
          <w:rFonts w:hint="eastAsia" w:ascii="宋体" w:hAnsi="宋体" w:eastAsia="宋体"/>
          <w:sz w:val="24"/>
        </w:rPr>
        <w:t>上述扣款内容定期由发包人考核确认，并在承包人各期进度款申请支付时扣除。</w:t>
      </w:r>
    </w:p>
    <w:p>
      <w:pPr>
        <w:pStyle w:val="28"/>
        <w:spacing w:line="440" w:lineRule="exact"/>
        <w:ind w:firstLine="480" w:firstLineChars="200"/>
        <w:rPr>
          <w:rFonts w:ascii="宋体" w:hAnsi="宋体" w:eastAsia="宋体"/>
        </w:rPr>
      </w:pPr>
      <w:r>
        <w:rPr>
          <w:rFonts w:hint="eastAsia" w:ascii="宋体" w:hAnsi="宋体" w:eastAsia="宋体"/>
          <w:sz w:val="24"/>
        </w:rPr>
        <w:t>备注：（</w:t>
      </w:r>
      <w:r>
        <w:rPr>
          <w:rFonts w:ascii="宋体" w:hAnsi="宋体" w:eastAsia="宋体"/>
          <w:sz w:val="24"/>
        </w:rPr>
        <w:t>1）拟派本工程现场施工管理人员须为承包人的在职员工，且在合同签订之时按要求向发包人提供相关证件和提供本单位近半年内缴纳社保资金的有效社保证明，并作为合同组成的一部分；当合同生效后，所列人员为合同实施期间人员到位核实的依据之一，如未经得发包人同意擅自离开施工现场的，发包人将按合同相关条款要求承包人更换不称职人员并承担相关违约责任。</w:t>
      </w:r>
    </w:p>
    <w:p>
      <w:pPr>
        <w:pStyle w:val="28"/>
        <w:spacing w:line="440" w:lineRule="exact"/>
        <w:ind w:firstLine="480" w:firstLineChars="200"/>
        <w:rPr>
          <w:rFonts w:ascii="宋体" w:hAnsi="宋体" w:eastAsia="宋体"/>
          <w:sz w:val="24"/>
        </w:rPr>
      </w:pPr>
      <w:r>
        <w:rPr>
          <w:rFonts w:ascii="宋体" w:hAnsi="宋体" w:eastAsia="宋体"/>
          <w:sz w:val="24"/>
        </w:rPr>
        <w:t xml:space="preserve">3.5 </w:t>
      </w:r>
      <w:r>
        <w:rPr>
          <w:rFonts w:hint="eastAsia" w:ascii="宋体" w:hAnsi="宋体" w:eastAsia="宋体"/>
          <w:sz w:val="24"/>
        </w:rPr>
        <w:t>分包</w:t>
      </w:r>
    </w:p>
    <w:p>
      <w:pPr>
        <w:pStyle w:val="28"/>
        <w:spacing w:line="440" w:lineRule="exact"/>
        <w:ind w:firstLine="480" w:firstLineChars="200"/>
        <w:rPr>
          <w:rFonts w:ascii="宋体" w:hAnsi="宋体" w:eastAsia="宋体"/>
          <w:sz w:val="24"/>
        </w:rPr>
      </w:pPr>
      <w:r>
        <w:rPr>
          <w:rFonts w:hint="eastAsia" w:ascii="宋体" w:hAnsi="宋体" w:eastAsia="宋体"/>
          <w:sz w:val="24"/>
        </w:rPr>
        <w:t>本工程不允许分包。</w:t>
      </w:r>
    </w:p>
    <w:p>
      <w:pPr>
        <w:pStyle w:val="28"/>
        <w:spacing w:line="440" w:lineRule="exact"/>
        <w:ind w:firstLine="480" w:firstLineChars="200"/>
        <w:rPr>
          <w:rFonts w:ascii="宋体" w:hAnsi="宋体" w:eastAsia="宋体"/>
          <w:sz w:val="24"/>
        </w:rPr>
      </w:pPr>
      <w:r>
        <w:rPr>
          <w:rFonts w:ascii="宋体" w:hAnsi="宋体" w:eastAsia="宋体"/>
          <w:sz w:val="24"/>
        </w:rPr>
        <w:t xml:space="preserve">3.6 </w:t>
      </w:r>
      <w:r>
        <w:rPr>
          <w:rFonts w:hint="eastAsia" w:ascii="宋体" w:hAnsi="宋体" w:eastAsia="宋体"/>
          <w:sz w:val="24"/>
        </w:rPr>
        <w:t>工程照管与成品、半成品保护</w:t>
      </w:r>
    </w:p>
    <w:p>
      <w:pPr>
        <w:pStyle w:val="28"/>
        <w:spacing w:line="440" w:lineRule="exact"/>
        <w:ind w:firstLine="480" w:firstLineChars="200"/>
        <w:rPr>
          <w:rFonts w:ascii="宋体" w:hAnsi="宋体" w:eastAsia="宋体"/>
          <w:kern w:val="0"/>
          <w:sz w:val="24"/>
          <w:u w:val="single"/>
        </w:rPr>
      </w:pPr>
      <w:r>
        <w:rPr>
          <w:rFonts w:hint="eastAsia" w:ascii="宋体" w:hAnsi="宋体" w:eastAsia="宋体"/>
          <w:kern w:val="0"/>
          <w:sz w:val="24"/>
        </w:rPr>
        <w:t>承包人负责照管工程及工程相关的材料、工程设备的起始时间：</w:t>
      </w:r>
      <w:r>
        <w:rPr>
          <w:rFonts w:hint="eastAsia" w:ascii="宋体" w:hAnsi="宋体" w:eastAsia="宋体"/>
          <w:sz w:val="24"/>
          <w:u w:val="single"/>
        </w:rPr>
        <w:t>自发包人向承包人移交施工现场之日起，直到工程竣工验收通过之日止</w:t>
      </w:r>
      <w:r>
        <w:rPr>
          <w:rFonts w:hint="eastAsia" w:ascii="宋体" w:hAnsi="宋体" w:eastAsia="宋体"/>
          <w:kern w:val="0"/>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3.7 </w:t>
      </w:r>
      <w:r>
        <w:rPr>
          <w:rFonts w:hint="eastAsia" w:ascii="宋体" w:hAnsi="宋体" w:eastAsia="宋体"/>
          <w:sz w:val="24"/>
        </w:rPr>
        <w:t>履约担保</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承包人是否提供履约担保：</w:t>
      </w:r>
      <w:r>
        <w:rPr>
          <w:rFonts w:hint="eastAsia" w:ascii="宋体" w:hAnsi="宋体" w:eastAsia="宋体"/>
          <w:kern w:val="0"/>
          <w:sz w:val="24"/>
          <w:u w:val="single"/>
        </w:rPr>
        <w:t>本工程不适用</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承包人提供履约担保的形式、金额及期限的：</w:t>
      </w:r>
    </w:p>
    <w:p>
      <w:pPr>
        <w:pStyle w:val="28"/>
        <w:spacing w:line="440" w:lineRule="exact"/>
        <w:ind w:firstLine="480" w:firstLineChars="200"/>
        <w:jc w:val="left"/>
        <w:rPr>
          <w:rFonts w:ascii="宋体" w:hAnsi="宋体" w:eastAsia="宋体"/>
          <w:sz w:val="24"/>
          <w:u w:val="single"/>
        </w:rPr>
      </w:pPr>
      <w:r>
        <w:rPr>
          <w:rFonts w:hint="eastAsia" w:ascii="宋体" w:hAnsi="宋体" w:eastAsia="宋体"/>
          <w:sz w:val="24"/>
          <w:u w:val="single"/>
        </w:rPr>
        <w:t>履约担保形式：无。</w:t>
      </w:r>
    </w:p>
    <w:p>
      <w:pPr>
        <w:pStyle w:val="28"/>
        <w:spacing w:line="440" w:lineRule="exact"/>
        <w:ind w:firstLine="480" w:firstLineChars="200"/>
        <w:jc w:val="left"/>
        <w:rPr>
          <w:rFonts w:ascii="宋体" w:hAnsi="宋体" w:eastAsia="宋体"/>
          <w:sz w:val="24"/>
          <w:u w:val="single"/>
        </w:rPr>
      </w:pPr>
      <w:r>
        <w:rPr>
          <w:rFonts w:hint="eastAsia" w:ascii="宋体" w:hAnsi="宋体" w:eastAsia="宋体"/>
          <w:sz w:val="24"/>
          <w:u w:val="single"/>
        </w:rPr>
        <w:t>履约担保金额：无。</w:t>
      </w:r>
    </w:p>
    <w:p>
      <w:pPr>
        <w:pStyle w:val="28"/>
        <w:spacing w:line="440" w:lineRule="exact"/>
        <w:outlineLvl w:val="1"/>
        <w:rPr>
          <w:rFonts w:ascii="宋体" w:hAnsi="宋体" w:eastAsia="宋体"/>
          <w:sz w:val="24"/>
        </w:rPr>
      </w:pPr>
      <w:bookmarkStart w:id="244" w:name="_Toc21352"/>
      <w:r>
        <w:rPr>
          <w:rFonts w:ascii="宋体" w:hAnsi="宋体" w:eastAsia="宋体"/>
          <w:sz w:val="24"/>
        </w:rPr>
        <w:t xml:space="preserve">4. </w:t>
      </w:r>
      <w:r>
        <w:rPr>
          <w:rFonts w:hint="eastAsia" w:ascii="宋体" w:hAnsi="宋体" w:eastAsia="宋体"/>
          <w:sz w:val="24"/>
        </w:rPr>
        <w:t>监理人</w:t>
      </w:r>
      <w:bookmarkEnd w:id="244"/>
    </w:p>
    <w:p>
      <w:pPr>
        <w:pStyle w:val="28"/>
        <w:spacing w:line="440" w:lineRule="exact"/>
        <w:ind w:firstLine="480" w:firstLineChars="200"/>
        <w:rPr>
          <w:rFonts w:ascii="宋体" w:hAnsi="宋体" w:eastAsia="宋体"/>
          <w:sz w:val="24"/>
        </w:rPr>
      </w:pPr>
      <w:r>
        <w:rPr>
          <w:rFonts w:ascii="宋体" w:hAnsi="宋体" w:eastAsia="宋体"/>
          <w:sz w:val="24"/>
        </w:rPr>
        <w:t>4.1监理人的一般规定</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关于监理人的监理内容：</w:t>
      </w:r>
      <w:r>
        <w:rPr>
          <w:rFonts w:hint="eastAsia" w:ascii="宋体" w:hAnsi="宋体" w:eastAsia="宋体"/>
          <w:sz w:val="24"/>
          <w:u w:val="single"/>
        </w:rPr>
        <w:t>详见发包人与监理单位签订的委托监理合同</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关于监理人的监理权限：</w:t>
      </w:r>
      <w:r>
        <w:rPr>
          <w:rFonts w:hint="eastAsia" w:ascii="宋体" w:hAnsi="宋体" w:eastAsia="宋体"/>
          <w:sz w:val="24"/>
          <w:u w:val="single"/>
        </w:rPr>
        <w:t>详见发包人与监理单位签订的委托监理合同</w:t>
      </w:r>
      <w:r>
        <w:rPr>
          <w:rFonts w:hint="eastAsia" w:ascii="宋体" w:hAnsi="宋体" w:eastAsia="宋体"/>
          <w:sz w:val="24"/>
        </w:rPr>
        <w:t>。</w:t>
      </w:r>
      <w:r>
        <w:rPr>
          <w:rFonts w:ascii="宋体" w:hAnsi="宋体" w:eastAsia="宋体"/>
          <w:sz w:val="24"/>
        </w:rPr>
        <w:t xml:space="preserve"> </w:t>
      </w:r>
    </w:p>
    <w:p>
      <w:pPr>
        <w:pStyle w:val="28"/>
        <w:spacing w:line="440" w:lineRule="exact"/>
        <w:rPr>
          <w:rFonts w:ascii="宋体" w:hAnsi="宋体" w:eastAsia="宋体"/>
          <w:sz w:val="24"/>
        </w:rPr>
      </w:pPr>
      <w:r>
        <w:rPr>
          <w:rFonts w:hint="eastAsia" w:ascii="宋体" w:hAnsi="宋体" w:eastAsia="宋体"/>
          <w:sz w:val="24"/>
        </w:rPr>
        <w:t>关于监理人在施工现场的办公场所、生活场所的提供和费用承担的约定：</w:t>
      </w:r>
      <w:r>
        <w:rPr>
          <w:rFonts w:hint="eastAsia" w:ascii="宋体" w:hAnsi="宋体" w:eastAsia="宋体"/>
          <w:sz w:val="24"/>
          <w:u w:val="single"/>
        </w:rPr>
        <w:t>详见发包人与监理单位签订的委托监理合同</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4.2 </w:t>
      </w:r>
      <w:r>
        <w:rPr>
          <w:rFonts w:hint="eastAsia" w:ascii="宋体" w:hAnsi="宋体" w:eastAsia="宋体"/>
          <w:sz w:val="24"/>
        </w:rPr>
        <w:t>监理人员</w:t>
      </w:r>
    </w:p>
    <w:p>
      <w:pPr>
        <w:pStyle w:val="28"/>
        <w:spacing w:line="440" w:lineRule="exact"/>
        <w:ind w:firstLine="480" w:firstLineChars="200"/>
        <w:rPr>
          <w:rFonts w:ascii="宋体" w:hAnsi="宋体" w:eastAsia="宋体"/>
          <w:sz w:val="24"/>
        </w:rPr>
      </w:pPr>
      <w:r>
        <w:rPr>
          <w:rFonts w:hint="eastAsia" w:ascii="宋体" w:hAnsi="宋体" w:eastAsia="宋体"/>
          <w:sz w:val="24"/>
        </w:rPr>
        <w:t>总监理工程师：</w:t>
      </w:r>
    </w:p>
    <w:p>
      <w:pPr>
        <w:pStyle w:val="28"/>
        <w:spacing w:line="440" w:lineRule="exact"/>
        <w:ind w:firstLine="480" w:firstLineChars="200"/>
        <w:rPr>
          <w:rFonts w:ascii="宋体" w:hAnsi="宋体" w:eastAsia="宋体"/>
          <w:sz w:val="24"/>
        </w:rPr>
      </w:pPr>
      <w:r>
        <w:rPr>
          <w:rFonts w:hint="eastAsia" w:ascii="宋体" w:hAnsi="宋体" w:eastAsia="宋体"/>
          <w:sz w:val="24"/>
        </w:rPr>
        <w:t>姓</w:t>
      </w:r>
      <w:r>
        <w:rPr>
          <w:rFonts w:ascii="宋体" w:hAnsi="宋体" w:eastAsia="宋体"/>
          <w:sz w:val="24"/>
        </w:rPr>
        <w:t xml:space="preserve">    </w:t>
      </w:r>
      <w:r>
        <w:rPr>
          <w:rFonts w:hint="eastAsia" w:ascii="宋体" w:hAnsi="宋体" w:eastAsia="宋体"/>
          <w:sz w:val="24"/>
        </w:rPr>
        <w:t>名：</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职</w:t>
      </w:r>
      <w:r>
        <w:rPr>
          <w:rFonts w:ascii="宋体" w:hAnsi="宋体" w:eastAsia="宋体"/>
          <w:sz w:val="24"/>
        </w:rPr>
        <w:t xml:space="preserve">    </w:t>
      </w:r>
      <w:r>
        <w:rPr>
          <w:rFonts w:hint="eastAsia" w:ascii="宋体" w:hAnsi="宋体" w:eastAsia="宋体"/>
          <w:sz w:val="24"/>
        </w:rPr>
        <w:t>务：</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监理工程师执业资格证书号：</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联系电话：</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电子信箱：</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通信地址：</w:t>
      </w:r>
      <w:r>
        <w:rPr>
          <w:rFonts w:ascii="宋体" w:hAnsi="宋体" w:eastAsia="宋体"/>
          <w:bCs/>
          <w:sz w:val="24"/>
          <w:u w:val="single"/>
        </w:rPr>
        <w:t xml:space="preserve">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关于监理人的其他约定：</w:t>
      </w:r>
      <w:r>
        <w:rPr>
          <w:rFonts w:hint="eastAsia" w:ascii="宋体" w:hAnsi="宋体" w:eastAsia="宋体"/>
          <w:sz w:val="24"/>
          <w:u w:val="single"/>
        </w:rPr>
        <w:t>详见发包人与监理人签订的委托监理合同</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4.4 </w:t>
      </w:r>
      <w:r>
        <w:rPr>
          <w:rFonts w:hint="eastAsia" w:ascii="宋体" w:hAnsi="宋体" w:eastAsia="宋体"/>
          <w:sz w:val="24"/>
        </w:rPr>
        <w:t>商定或确定</w:t>
      </w:r>
    </w:p>
    <w:p>
      <w:pPr>
        <w:pStyle w:val="28"/>
        <w:spacing w:line="440" w:lineRule="exact"/>
        <w:ind w:firstLine="480" w:firstLineChars="200"/>
        <w:rPr>
          <w:rFonts w:ascii="宋体" w:hAnsi="宋体" w:eastAsia="宋体"/>
          <w:sz w:val="24"/>
        </w:rPr>
      </w:pPr>
      <w:r>
        <w:rPr>
          <w:rFonts w:hint="eastAsia" w:ascii="宋体" w:hAnsi="宋体" w:eastAsia="宋体"/>
          <w:sz w:val="24"/>
        </w:rPr>
        <w:t>在发包人和承包人不能通过协商达成一致意见时，发包人授权监理人对以下事项进行确定：</w:t>
      </w:r>
    </w:p>
    <w:p>
      <w:pPr>
        <w:pStyle w:val="28"/>
        <w:numPr>
          <w:ilvl w:val="0"/>
          <w:numId w:val="1"/>
        </w:numPr>
        <w:autoSpaceDE w:val="0"/>
        <w:autoSpaceDN w:val="0"/>
        <w:spacing w:line="440" w:lineRule="exact"/>
        <w:ind w:firstLine="480" w:firstLineChars="200"/>
        <w:jc w:val="left"/>
        <w:rPr>
          <w:rFonts w:ascii="宋体" w:hAnsi="宋体" w:eastAsia="宋体"/>
          <w:kern w:val="0"/>
          <w:sz w:val="24"/>
        </w:rPr>
      </w:pPr>
      <w:r>
        <w:rPr>
          <w:rFonts w:ascii="宋体" w:hAnsi="宋体" w:eastAsia="宋体"/>
          <w:sz w:val="24"/>
          <w:u w:val="single"/>
        </w:rPr>
        <w:t>/</w:t>
      </w:r>
      <w:r>
        <w:rPr>
          <w:rFonts w:hint="eastAsia" w:ascii="宋体" w:hAnsi="宋体" w:eastAsia="宋体"/>
          <w:sz w:val="24"/>
        </w:rPr>
        <w:t>；</w:t>
      </w:r>
    </w:p>
    <w:p>
      <w:pPr>
        <w:pStyle w:val="28"/>
        <w:spacing w:line="440" w:lineRule="exact"/>
        <w:jc w:val="left"/>
        <w:outlineLvl w:val="1"/>
        <w:rPr>
          <w:rFonts w:ascii="宋体" w:hAnsi="宋体" w:eastAsia="宋体"/>
          <w:sz w:val="24"/>
        </w:rPr>
      </w:pPr>
      <w:bookmarkStart w:id="245" w:name="_Toc28231"/>
      <w:r>
        <w:rPr>
          <w:rFonts w:ascii="宋体" w:hAnsi="宋体" w:eastAsia="宋体"/>
          <w:sz w:val="24"/>
        </w:rPr>
        <w:t xml:space="preserve">5. </w:t>
      </w:r>
      <w:r>
        <w:rPr>
          <w:rFonts w:hint="eastAsia" w:ascii="宋体" w:hAnsi="宋体" w:eastAsia="宋体"/>
          <w:sz w:val="24"/>
        </w:rPr>
        <w:t>工程质量</w:t>
      </w:r>
      <w:bookmarkEnd w:id="245"/>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5.1 </w:t>
      </w:r>
      <w:r>
        <w:rPr>
          <w:rFonts w:hint="eastAsia" w:ascii="宋体" w:hAnsi="宋体" w:eastAsia="宋体"/>
          <w:sz w:val="24"/>
        </w:rPr>
        <w:t>质量要求</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5.1.1 </w:t>
      </w:r>
      <w:r>
        <w:rPr>
          <w:rFonts w:hint="eastAsia" w:ascii="宋体" w:hAnsi="宋体" w:eastAsia="宋体"/>
          <w:sz w:val="24"/>
        </w:rPr>
        <w:t>特殊质量标准和要求：</w:t>
      </w:r>
    </w:p>
    <w:p>
      <w:pPr>
        <w:pStyle w:val="28"/>
        <w:spacing w:line="480" w:lineRule="exact"/>
        <w:ind w:right="11" w:firstLine="360" w:firstLineChars="150"/>
        <w:rPr>
          <w:rFonts w:ascii="宋体" w:hAnsi="宋体" w:eastAsia="宋体"/>
          <w:kern w:val="0"/>
          <w:sz w:val="24"/>
        </w:rPr>
      </w:pPr>
      <w:r>
        <w:rPr>
          <w:rFonts w:hint="eastAsia" w:ascii="宋体" w:hAnsi="宋体" w:eastAsia="宋体"/>
          <w:sz w:val="24"/>
          <w:u w:val="single"/>
        </w:rPr>
        <w:t>（</w:t>
      </w:r>
      <w:r>
        <w:rPr>
          <w:rFonts w:ascii="宋体" w:hAnsi="宋体" w:eastAsia="宋体"/>
          <w:sz w:val="24"/>
          <w:u w:val="single"/>
        </w:rPr>
        <w:t>1）合同工程质量标准：</w:t>
      </w:r>
      <w:r>
        <w:rPr>
          <w:rFonts w:hint="eastAsia" w:ascii="宋体" w:hAnsi="宋体" w:eastAsia="宋体"/>
          <w:kern w:val="0"/>
          <w:sz w:val="24"/>
        </w:rPr>
        <w:t>承包人必须严格按照施工图纸及相关规范要求施工，并达到现行验收规范合格或以上标准，否则，一切后果由承包人负责。凡施工期（或在缺陷责任期或保修期内的）中出现质量问题，承包人必须无条件按相关标准、规范和规定的要求进行整改、维修或更换，整改、维修或更换所需费用由承包人负责，并且承包人需承担由此引起的一切损失和后果。</w:t>
      </w:r>
    </w:p>
    <w:p>
      <w:pPr>
        <w:pStyle w:val="28"/>
        <w:spacing w:line="480" w:lineRule="exact"/>
        <w:ind w:right="11" w:firstLine="360" w:firstLineChars="150"/>
        <w:rPr>
          <w:rFonts w:ascii="宋体" w:hAnsi="宋体" w:eastAsia="宋体"/>
          <w:kern w:val="0"/>
          <w:sz w:val="24"/>
        </w:rPr>
      </w:pPr>
      <w:r>
        <w:rPr>
          <w:rFonts w:hint="eastAsia" w:ascii="宋体" w:hAnsi="宋体" w:eastAsia="宋体"/>
          <w:kern w:val="0"/>
          <w:sz w:val="24"/>
        </w:rPr>
        <w:t>因承包人原因造成本工程质量达不到合同约定标准的，发包人有权要求承包人进行返工和整改，并有权扣除承包人签约合同总价</w:t>
      </w:r>
      <w:r>
        <w:rPr>
          <w:rFonts w:ascii="宋体" w:hAnsi="宋体" w:eastAsia="宋体"/>
          <w:kern w:val="0"/>
          <w:sz w:val="24"/>
        </w:rPr>
        <w:t>2%的违约金，承包人须承担由此增加的全部费用和（或）延误的工期。相关的返工和整改限于3次，返工整改时间总长为10日历天，经返工整改仍不能达到合同约定的，发包人有权解除合同，未结工程款不予结算，承包人须无条件接受并即时退场；发包人自行组织整改所产生的费用超过未结款项的，发包人有权向承包人追究赔偿责任。</w:t>
      </w:r>
    </w:p>
    <w:p>
      <w:pPr>
        <w:pStyle w:val="28"/>
        <w:spacing w:line="400" w:lineRule="exact"/>
        <w:ind w:firstLine="544" w:firstLineChars="227"/>
        <w:jc w:val="left"/>
        <w:rPr>
          <w:rFonts w:ascii="宋体" w:hAnsi="宋体" w:eastAsia="宋体"/>
          <w:sz w:val="24"/>
          <w:u w:val="single"/>
        </w:rPr>
      </w:pPr>
      <w:r>
        <w:rPr>
          <w:rFonts w:hint="eastAsia" w:ascii="宋体" w:hAnsi="宋体" w:eastAsia="宋体"/>
          <w:sz w:val="24"/>
        </w:rPr>
        <w:t>承包人必须确保工程一次验收合格。因承包人原因致工程未一次验收合格，视承包人违约，发包人有权扣除承包人签约合同总价</w:t>
      </w:r>
      <w:r>
        <w:rPr>
          <w:rFonts w:ascii="宋体" w:hAnsi="宋体" w:eastAsia="宋体"/>
          <w:sz w:val="24"/>
        </w:rPr>
        <w:t>1%的违约金；导致工程不能按计划工期完成竣工验收的，承包人除按发包人要求在保证工程质量的情况下加快实施进度外，还应按专用合同条款第7.5款承担违约责任。</w:t>
      </w:r>
    </w:p>
    <w:p>
      <w:pPr>
        <w:pStyle w:val="28"/>
        <w:spacing w:line="440" w:lineRule="exact"/>
        <w:ind w:firstLine="480" w:firstLineChars="200"/>
        <w:jc w:val="left"/>
        <w:rPr>
          <w:rFonts w:ascii="宋体" w:hAnsi="宋体" w:eastAsia="宋体"/>
          <w:sz w:val="24"/>
        </w:rPr>
      </w:pPr>
      <w:r>
        <w:rPr>
          <w:rFonts w:hint="eastAsia" w:ascii="宋体" w:hAnsi="宋体" w:eastAsia="宋体"/>
          <w:sz w:val="24"/>
          <w:u w:val="single"/>
        </w:rPr>
        <w:t>（</w:t>
      </w:r>
      <w:r>
        <w:rPr>
          <w:rFonts w:ascii="宋体" w:hAnsi="宋体" w:eastAsia="宋体"/>
          <w:sz w:val="24"/>
          <w:u w:val="single"/>
        </w:rPr>
        <w:t>2）工程质量验收标准：</w:t>
      </w:r>
      <w:r>
        <w:rPr>
          <w:rFonts w:hint="eastAsia" w:ascii="宋体" w:hAnsi="宋体" w:eastAsia="宋体"/>
          <w:sz w:val="24"/>
        </w:rPr>
        <w:t>①符合中华人民共和国国家规定的现行施工竣工验收规范、标准（或地方政府主管机关的具体规范、标准）；②上级主管部门有关工程竣工的文件和规定；③符合竞争性磋商文件的工程技术指标及各项要求；④工程设计文件及施工、设计图纸；⑤双方共同协商的标准。</w:t>
      </w:r>
    </w:p>
    <w:p>
      <w:pPr>
        <w:pStyle w:val="28"/>
        <w:spacing w:line="440" w:lineRule="exact"/>
        <w:ind w:firstLine="480" w:firstLineChars="200"/>
        <w:jc w:val="left"/>
        <w:rPr>
          <w:rFonts w:ascii="宋体" w:hAnsi="宋体" w:eastAsia="宋体"/>
          <w:sz w:val="24"/>
          <w:u w:val="single"/>
        </w:rPr>
      </w:pPr>
      <w:r>
        <w:rPr>
          <w:rFonts w:hint="eastAsia" w:ascii="宋体" w:hAnsi="宋体" w:eastAsia="宋体"/>
          <w:sz w:val="24"/>
        </w:rPr>
        <w:t>关于工程奖项的约定：</w:t>
      </w:r>
      <w:r>
        <w:rPr>
          <w:rFonts w:ascii="宋体" w:hAnsi="宋体" w:eastAsia="宋体"/>
          <w:sz w:val="24"/>
          <w:u w:val="single"/>
        </w:rPr>
        <w:t xml:space="preserve"> / 。</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5.3 </w:t>
      </w:r>
      <w:r>
        <w:rPr>
          <w:rFonts w:hint="eastAsia" w:ascii="宋体" w:hAnsi="宋体" w:eastAsia="宋体"/>
          <w:sz w:val="24"/>
        </w:rPr>
        <w:t>隐蔽工程检查</w:t>
      </w:r>
    </w:p>
    <w:p>
      <w:pPr>
        <w:pStyle w:val="28"/>
        <w:spacing w:line="440" w:lineRule="exact"/>
        <w:ind w:firstLine="480" w:firstLineChars="200"/>
        <w:jc w:val="left"/>
        <w:rPr>
          <w:rFonts w:ascii="宋体" w:hAnsi="宋体" w:eastAsia="宋体"/>
          <w:sz w:val="24"/>
        </w:rPr>
      </w:pPr>
      <w:r>
        <w:rPr>
          <w:rFonts w:ascii="宋体" w:hAnsi="宋体" w:eastAsia="宋体"/>
          <w:sz w:val="24"/>
        </w:rPr>
        <w:t>5.3.2承包人提前通知监理人隐蔽工程检查的期限的约定：</w:t>
      </w:r>
      <w:r>
        <w:rPr>
          <w:rFonts w:hint="eastAsia" w:ascii="宋体" w:hAnsi="宋体" w:eastAsia="宋体"/>
          <w:sz w:val="24"/>
          <w:u w:val="single"/>
        </w:rPr>
        <w:t>按国家、部门的规范标准、地方性文件规定及设计图纸或监理工程师的要求执行</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监理人不能按时进行检查时，应提前</w:t>
      </w:r>
      <w:r>
        <w:rPr>
          <w:rFonts w:ascii="宋体" w:hAnsi="宋体" w:eastAsia="宋体"/>
          <w:sz w:val="24"/>
          <w:u w:val="single"/>
        </w:rPr>
        <w:t xml:space="preserve"> 24 </w:t>
      </w:r>
      <w:r>
        <w:rPr>
          <w:rFonts w:hint="eastAsia" w:ascii="宋体" w:hAnsi="宋体" w:eastAsia="宋体"/>
          <w:sz w:val="24"/>
        </w:rPr>
        <w:t>小时提交书面延期要求。</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关于延期最长不得超过：</w:t>
      </w:r>
      <w:r>
        <w:rPr>
          <w:rFonts w:ascii="宋体" w:hAnsi="宋体" w:eastAsia="宋体"/>
          <w:sz w:val="24"/>
          <w:u w:val="single"/>
        </w:rPr>
        <w:t xml:space="preserve"> 48 </w:t>
      </w:r>
      <w:r>
        <w:rPr>
          <w:rFonts w:hint="eastAsia" w:ascii="宋体" w:hAnsi="宋体" w:eastAsia="宋体"/>
          <w:sz w:val="24"/>
        </w:rPr>
        <w:t>小时。</w:t>
      </w:r>
    </w:p>
    <w:p>
      <w:pPr>
        <w:pStyle w:val="28"/>
        <w:numPr>
          <w:ilvl w:val="0"/>
          <w:numId w:val="2"/>
        </w:numPr>
        <w:spacing w:line="440" w:lineRule="exact"/>
        <w:ind w:firstLine="480" w:firstLineChars="200"/>
        <w:jc w:val="left"/>
        <w:rPr>
          <w:rFonts w:ascii="宋体" w:hAnsi="宋体" w:eastAsia="宋体"/>
          <w:sz w:val="24"/>
          <w:u w:val="single"/>
        </w:rPr>
      </w:pPr>
      <w:r>
        <w:rPr>
          <w:rFonts w:hint="eastAsia" w:ascii="宋体" w:hAnsi="宋体" w:eastAsia="宋体"/>
          <w:sz w:val="24"/>
          <w:u w:val="single"/>
        </w:rPr>
        <w:t>承包人必须先进行自检，自检合格后，承包人应在隐蔽验收前</w:t>
      </w:r>
      <w:r>
        <w:rPr>
          <w:rFonts w:ascii="宋体" w:hAnsi="宋体" w:eastAsia="宋体"/>
          <w:sz w:val="24"/>
          <w:u w:val="single"/>
        </w:rPr>
        <w:t>48小时以书面形式通知监理人、发包人，并积极配合发包人、监理人进行隐蔽工程中间验收，并填写隐蔽工程报验查验报告单，办理中间验收手续及中间验收事宜。验收合格，承包人才能进行覆盖和继续施工；验收不合格的，承包人必须在发包人限定的时间内完成修复，并经重新验收，由此增加的费用和（或）延误的工期由承包人承担。</w:t>
      </w:r>
    </w:p>
    <w:p>
      <w:pPr>
        <w:pStyle w:val="28"/>
        <w:numPr>
          <w:ilvl w:val="0"/>
          <w:numId w:val="2"/>
        </w:numPr>
        <w:spacing w:line="440" w:lineRule="exact"/>
        <w:ind w:firstLine="480" w:firstLineChars="200"/>
        <w:jc w:val="left"/>
        <w:rPr>
          <w:rFonts w:ascii="宋体" w:hAnsi="宋体" w:eastAsia="宋体"/>
          <w:sz w:val="24"/>
        </w:rPr>
      </w:pPr>
      <w:r>
        <w:rPr>
          <w:rFonts w:hint="eastAsia" w:ascii="宋体" w:hAnsi="宋体" w:eastAsia="宋体"/>
          <w:sz w:val="24"/>
          <w:szCs w:val="28"/>
          <w:u w:val="single"/>
        </w:rPr>
        <w:t>无论发包人或监理人代表是否参加验收，当其提出对已经隐蔽工程部位重新进行检验时，承包人应按要求及时进行剥露，并在检验后重新进行覆盖或修复。检验合格，发包人承担由此发生的费用，并顺延工期；检验不合格，承包人承担由此发生的费用，工期不予顺延，并承担相应责任。</w:t>
      </w:r>
    </w:p>
    <w:p>
      <w:pPr>
        <w:pStyle w:val="28"/>
        <w:spacing w:line="440" w:lineRule="exact"/>
        <w:outlineLvl w:val="1"/>
        <w:rPr>
          <w:rFonts w:ascii="宋体" w:hAnsi="宋体" w:eastAsia="宋体"/>
          <w:sz w:val="24"/>
        </w:rPr>
      </w:pPr>
      <w:bookmarkStart w:id="246" w:name="_Toc13398"/>
      <w:r>
        <w:rPr>
          <w:rFonts w:ascii="宋体" w:hAnsi="宋体" w:eastAsia="宋体"/>
          <w:sz w:val="24"/>
        </w:rPr>
        <w:t xml:space="preserve">6. </w:t>
      </w:r>
      <w:r>
        <w:rPr>
          <w:rFonts w:hint="eastAsia" w:ascii="宋体" w:hAnsi="宋体" w:eastAsia="宋体"/>
          <w:sz w:val="24"/>
        </w:rPr>
        <w:t>安全文明施工与环境保护</w:t>
      </w:r>
      <w:bookmarkEnd w:id="246"/>
    </w:p>
    <w:p>
      <w:pPr>
        <w:pStyle w:val="28"/>
        <w:spacing w:line="440" w:lineRule="exact"/>
        <w:ind w:firstLine="480" w:firstLineChars="200"/>
        <w:rPr>
          <w:rFonts w:ascii="宋体" w:hAnsi="宋体" w:eastAsia="宋体"/>
          <w:sz w:val="24"/>
        </w:rPr>
      </w:pPr>
      <w:r>
        <w:rPr>
          <w:rFonts w:ascii="宋体" w:hAnsi="宋体" w:eastAsia="宋体"/>
          <w:sz w:val="24"/>
        </w:rPr>
        <w:t>6.1安全文明施工</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6.1.1 </w:t>
      </w:r>
      <w:r>
        <w:rPr>
          <w:rFonts w:hint="eastAsia" w:ascii="宋体" w:hAnsi="宋体" w:eastAsia="宋体"/>
          <w:sz w:val="24"/>
        </w:rPr>
        <w:t>项目安全生产的达标目标及相应事项的约定：</w:t>
      </w:r>
      <w:r>
        <w:rPr>
          <w:rFonts w:hint="eastAsia" w:ascii="宋体" w:hAnsi="宋体" w:eastAsia="宋体"/>
          <w:sz w:val="24"/>
          <w:u w:val="single"/>
        </w:rPr>
        <w:t>按照国家有关安全条例和当地有关部门的规定对施工现场和施工方法采取有效的安全措施，确保安全施工。任何因承包人原因造成的工程、财产和人身伤害及安全事故，由承包人承担一切经济及法律责任并负责事后补救，发包人有权解除合同。发生上述事故的，承包人应在事故发生后</w:t>
      </w:r>
      <w:r>
        <w:rPr>
          <w:rFonts w:ascii="宋体" w:hAnsi="宋体" w:eastAsia="宋体"/>
          <w:sz w:val="24"/>
          <w:u w:val="single"/>
        </w:rPr>
        <w:t>1小时内及时通知发包人。在合同期内承包人对施工现场的安全生产管理必须严格执行《建筑施工安全检查标准》（JGJ59-2011）、《建设工程安全生产管理条例》（中华人民共和国国务院令第393号）及地方现行相关法律法规。对检查不合格的，监理工程师有权下达限期停工整改通知单，承包人在限期内无条件进行整改及至达到合格，造成工期延误的，工期不予顺延，由此造成的损失由承包人负责</w:t>
      </w:r>
      <w:r>
        <w:rPr>
          <w:rFonts w:hint="eastAsia" w:ascii="宋体" w:hAnsi="宋体" w:eastAsia="宋体"/>
          <w:sz w:val="24"/>
        </w:rPr>
        <w:t>。</w:t>
      </w:r>
    </w:p>
    <w:p>
      <w:pPr>
        <w:pStyle w:val="28"/>
        <w:spacing w:line="400" w:lineRule="exact"/>
        <w:ind w:firstLine="482" w:firstLineChars="200"/>
        <w:jc w:val="left"/>
        <w:rPr>
          <w:rFonts w:ascii="宋体" w:hAnsi="宋体" w:eastAsia="宋体"/>
          <w:b/>
          <w:bCs/>
          <w:sz w:val="24"/>
        </w:rPr>
      </w:pPr>
      <w:r>
        <w:rPr>
          <w:rFonts w:hint="eastAsia" w:ascii="宋体" w:hAnsi="宋体" w:eastAsia="宋体"/>
          <w:b/>
          <w:bCs/>
          <w:sz w:val="24"/>
        </w:rPr>
        <w:t>如本工程受到相关主管部门罚款或通报或受到整改通知，发包人有权视情节轻重处以承包人每次人民币</w:t>
      </w:r>
      <w:r>
        <w:rPr>
          <w:rFonts w:ascii="宋体" w:hAnsi="宋体" w:eastAsia="宋体"/>
          <w:b/>
          <w:bCs/>
          <w:sz w:val="24"/>
        </w:rPr>
        <w:t>5000元~10000元的违约金。</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6.1.4 </w:t>
      </w:r>
      <w:r>
        <w:rPr>
          <w:rFonts w:hint="eastAsia" w:ascii="宋体" w:hAnsi="宋体" w:eastAsia="宋体"/>
          <w:sz w:val="24"/>
        </w:rPr>
        <w:t>关于治安保卫的特别约定：</w:t>
      </w:r>
      <w:r>
        <w:rPr>
          <w:rFonts w:hint="eastAsia" w:ascii="宋体" w:hAnsi="宋体" w:eastAsia="宋体"/>
          <w:sz w:val="24"/>
          <w:u w:val="single"/>
        </w:rPr>
        <w:t>承包人应与当地公安部门协商，在现场建立治安管理机构或联防组织，统一管理施工场地的治安保卫事项，履行合同工程的治安保卫职责</w:t>
      </w:r>
      <w:r>
        <w:rPr>
          <w:rFonts w:hint="eastAsia" w:ascii="宋体" w:hAnsi="宋体" w:eastAsia="宋体"/>
          <w:sz w:val="24"/>
        </w:rPr>
        <w:t>。</w:t>
      </w:r>
    </w:p>
    <w:p>
      <w:pPr>
        <w:pStyle w:val="28"/>
        <w:spacing w:line="440" w:lineRule="exact"/>
        <w:ind w:firstLine="480" w:firstLineChars="200"/>
        <w:jc w:val="left"/>
        <w:rPr>
          <w:rFonts w:ascii="宋体" w:hAnsi="宋体" w:eastAsia="宋体"/>
          <w:sz w:val="24"/>
          <w:u w:val="single"/>
        </w:rPr>
      </w:pPr>
      <w:r>
        <w:rPr>
          <w:rFonts w:hint="eastAsia" w:ascii="宋体" w:hAnsi="宋体" w:eastAsia="宋体"/>
          <w:sz w:val="24"/>
        </w:rPr>
        <w:t>关于编制施工场地治安管理计划的约定：</w:t>
      </w:r>
      <w:r>
        <w:rPr>
          <w:rFonts w:hint="eastAsia" w:ascii="宋体" w:hAnsi="宋体" w:eastAsia="宋体"/>
          <w:sz w:val="24"/>
          <w:u w:val="single"/>
        </w:rPr>
        <w:t>承包人应在工程开工后</w:t>
      </w:r>
      <w:r>
        <w:rPr>
          <w:rFonts w:ascii="宋体" w:hAnsi="宋体" w:eastAsia="宋体"/>
          <w:sz w:val="24"/>
          <w:u w:val="single"/>
        </w:rPr>
        <w:t>7天内编制施工场地治安管理计划，制定应对突发治安事件的紧急预案，经监理人审核后，报发包人备案。在工程施工过程中，发生暴乱、爆炸等恐怖事件，以及群殴、械斗等群体性突发治安事件的，承包人应立即向发包人、当地派出所、110指挥中心、政府报告。发包人和承包人应积极协助当地有关部门采取措施平息事态，防止事态扩大，尽量避免人员伤亡和财产损失。</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6.1.5 </w:t>
      </w:r>
      <w:r>
        <w:rPr>
          <w:rFonts w:hint="eastAsia" w:ascii="宋体" w:hAnsi="宋体" w:eastAsia="宋体"/>
          <w:sz w:val="24"/>
        </w:rPr>
        <w:t>文明施工</w:t>
      </w:r>
    </w:p>
    <w:p>
      <w:pPr>
        <w:pStyle w:val="28"/>
        <w:spacing w:line="440" w:lineRule="exact"/>
        <w:jc w:val="left"/>
        <w:rPr>
          <w:rFonts w:ascii="宋体" w:hAnsi="宋体" w:eastAsia="宋体"/>
          <w:sz w:val="24"/>
        </w:rPr>
      </w:pPr>
      <w:r>
        <w:rPr>
          <w:rFonts w:hint="eastAsia" w:ascii="宋体" w:hAnsi="宋体" w:eastAsia="宋体"/>
          <w:sz w:val="24"/>
        </w:rPr>
        <w:t>合同当事人对文明施工的要求：</w:t>
      </w:r>
      <w:r>
        <w:rPr>
          <w:rFonts w:hint="eastAsia" w:ascii="宋体" w:hAnsi="宋体" w:eastAsia="宋体"/>
          <w:sz w:val="24"/>
          <w:u w:val="single"/>
        </w:rPr>
        <w:t>按通用条款执行</w:t>
      </w:r>
      <w:r>
        <w:rPr>
          <w:rFonts w:hint="eastAsia" w:ascii="宋体" w:hAnsi="宋体" w:eastAsia="宋体"/>
          <w:sz w:val="24"/>
        </w:rPr>
        <w:t>。</w:t>
      </w:r>
    </w:p>
    <w:p>
      <w:pPr>
        <w:pStyle w:val="28"/>
        <w:spacing w:line="360" w:lineRule="auto"/>
        <w:ind w:firstLine="442"/>
        <w:rPr>
          <w:rFonts w:ascii="宋体" w:hAnsi="宋体" w:eastAsia="宋体"/>
          <w:sz w:val="24"/>
        </w:rPr>
      </w:pPr>
      <w:r>
        <w:rPr>
          <w:rFonts w:ascii="宋体" w:hAnsi="宋体" w:eastAsia="宋体"/>
          <w:sz w:val="24"/>
        </w:rPr>
        <w:t xml:space="preserve">6.1.6 </w:t>
      </w:r>
      <w:r>
        <w:rPr>
          <w:rFonts w:hint="eastAsia" w:ascii="宋体" w:hAnsi="宋体" w:eastAsia="宋体"/>
          <w:sz w:val="24"/>
        </w:rPr>
        <w:t>关于绿色施工安全防护措施费支付比例和支付期限的约定：</w:t>
      </w:r>
    </w:p>
    <w:p>
      <w:pPr>
        <w:pStyle w:val="28"/>
        <w:spacing w:line="360" w:lineRule="auto"/>
        <w:ind w:firstLine="442"/>
        <w:rPr>
          <w:rFonts w:ascii="宋体" w:hAnsi="宋体" w:eastAsia="宋体"/>
          <w:sz w:val="24"/>
          <w:u w:val="single"/>
        </w:rPr>
      </w:pPr>
      <w:r>
        <w:rPr>
          <w:rFonts w:ascii="宋体" w:hAnsi="宋体" w:eastAsia="宋体"/>
          <w:sz w:val="24"/>
          <w:u w:val="single"/>
        </w:rPr>
        <w:t xml:space="preserve">(1)绿色施工安全防护措施费的内容及范围：绿色施工安全防护措施费用须专款专用，以现行广东省统一工程计价依据规定为准及 </w:t>
      </w:r>
      <w:r>
        <w:rPr>
          <w:rFonts w:hint="eastAsia" w:ascii="宋体" w:hAnsi="宋体" w:eastAsia="宋体"/>
          <w:sz w:val="24"/>
          <w:u w:val="single"/>
        </w:rPr>
        <w:t>按佛建工【</w:t>
      </w:r>
      <w:r>
        <w:rPr>
          <w:rFonts w:ascii="宋体" w:hAnsi="宋体" w:eastAsia="宋体"/>
          <w:sz w:val="24"/>
          <w:u w:val="single"/>
        </w:rPr>
        <w:t>2007】41号文件（以最新的文件为准）规定执行。承包人应在财务账目中单独列项备查，不得挪作他用。如工程安全防护、文明施工无法达到建设行政主管部门有关规定要求的，承包人承担违约责任，赔偿因其违约给发包人造成的损失。</w:t>
      </w:r>
    </w:p>
    <w:p>
      <w:pPr>
        <w:pStyle w:val="28"/>
        <w:spacing w:line="400" w:lineRule="exact"/>
        <w:ind w:firstLine="480" w:firstLineChars="200"/>
        <w:jc w:val="left"/>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2）绿色施工安全防护措施费的支付：绿色施工安全防护措施费与工程进度款同期按比例计量。若承包人不能达到安全防护、文明施工的规定要求，则由发包人按其情节，在合同价款中作相应扣减。</w:t>
      </w:r>
    </w:p>
    <w:p>
      <w:pPr>
        <w:pStyle w:val="28"/>
        <w:spacing w:line="440" w:lineRule="exact"/>
        <w:ind w:firstLine="480" w:firstLineChars="200"/>
        <w:jc w:val="left"/>
        <w:rPr>
          <w:rFonts w:ascii="宋体" w:hAnsi="宋体" w:eastAsia="宋体"/>
          <w:sz w:val="24"/>
        </w:rPr>
      </w:pPr>
    </w:p>
    <w:p>
      <w:pPr>
        <w:pStyle w:val="28"/>
        <w:spacing w:line="440" w:lineRule="exact"/>
        <w:outlineLvl w:val="1"/>
        <w:rPr>
          <w:rFonts w:ascii="宋体" w:hAnsi="宋体" w:eastAsia="宋体"/>
          <w:sz w:val="24"/>
        </w:rPr>
      </w:pPr>
      <w:bookmarkStart w:id="247" w:name="_Toc8659"/>
      <w:r>
        <w:rPr>
          <w:rFonts w:ascii="宋体" w:hAnsi="宋体" w:eastAsia="宋体"/>
          <w:sz w:val="24"/>
        </w:rPr>
        <w:t xml:space="preserve">7. </w:t>
      </w:r>
      <w:r>
        <w:rPr>
          <w:rFonts w:hint="eastAsia" w:ascii="宋体" w:hAnsi="宋体" w:eastAsia="宋体"/>
          <w:sz w:val="24"/>
        </w:rPr>
        <w:t>工期和进度</w:t>
      </w:r>
      <w:bookmarkEnd w:id="247"/>
    </w:p>
    <w:p>
      <w:pPr>
        <w:pStyle w:val="28"/>
        <w:spacing w:line="440" w:lineRule="exact"/>
        <w:ind w:firstLine="480" w:firstLineChars="200"/>
        <w:rPr>
          <w:rFonts w:ascii="宋体" w:hAnsi="宋体" w:eastAsia="宋体"/>
          <w:sz w:val="24"/>
        </w:rPr>
      </w:pPr>
      <w:r>
        <w:rPr>
          <w:rFonts w:ascii="宋体" w:hAnsi="宋体" w:eastAsia="宋体"/>
          <w:sz w:val="24"/>
        </w:rPr>
        <w:t xml:space="preserve">7.1 </w:t>
      </w:r>
      <w:r>
        <w:rPr>
          <w:rFonts w:hint="eastAsia" w:ascii="宋体" w:hAnsi="宋体" w:eastAsia="宋体"/>
          <w:sz w:val="24"/>
        </w:rPr>
        <w:t>施工组织设计</w:t>
      </w:r>
    </w:p>
    <w:p>
      <w:pPr>
        <w:pStyle w:val="28"/>
        <w:autoSpaceDE w:val="0"/>
        <w:autoSpaceDN w:val="0"/>
        <w:spacing w:line="440" w:lineRule="exact"/>
        <w:ind w:firstLine="480" w:firstLineChars="200"/>
        <w:jc w:val="left"/>
        <w:rPr>
          <w:rFonts w:ascii="宋体" w:hAnsi="宋体" w:eastAsia="宋体"/>
          <w:kern w:val="0"/>
          <w:sz w:val="24"/>
        </w:rPr>
      </w:pPr>
      <w:r>
        <w:rPr>
          <w:rFonts w:ascii="宋体" w:hAnsi="宋体" w:eastAsia="宋体"/>
          <w:sz w:val="24"/>
        </w:rPr>
        <w:t xml:space="preserve">7.1.1 </w:t>
      </w:r>
      <w:r>
        <w:rPr>
          <w:rFonts w:hint="eastAsia" w:ascii="宋体" w:hAnsi="宋体" w:eastAsia="宋体"/>
          <w:sz w:val="24"/>
        </w:rPr>
        <w:t>合</w:t>
      </w:r>
      <w:r>
        <w:rPr>
          <w:rFonts w:hint="eastAsia" w:ascii="宋体" w:hAnsi="宋体" w:eastAsia="宋体"/>
          <w:kern w:val="0"/>
          <w:sz w:val="24"/>
        </w:rPr>
        <w:t>同当事人约定的施工组织设计应包括的其他内容：</w:t>
      </w:r>
      <w:r>
        <w:rPr>
          <w:rFonts w:ascii="宋体" w:hAnsi="宋体" w:eastAsia="宋体"/>
          <w:sz w:val="24"/>
          <w:u w:val="single"/>
        </w:rPr>
        <w:t xml:space="preserve"> 在开工期3日内提交施工组织设计和工程进度计划及其申报表。承包人必须按监理工程师确认的进度计划组织施工，接受监理工程师对进度的检查、监督。工程实际进度对于在竣工时间内完工过于迟缓或与经确认的进度计划不符时，监理工程师可提出建议采用的改进措施，承包人应按监理工程师的建议提出改进措施，提交一份修订的进度计划，经监理工程师确认后执行。经监理工程师批准的进度调整计划不得免除承包人延误工期应承担的违约责任。因承包人的原因导致实际进度与进度计划不符，承包人无权就改进措施提出追加合同价款 </w:t>
      </w:r>
      <w:r>
        <w:rPr>
          <w:rFonts w:hint="eastAsia" w:ascii="宋体" w:hAnsi="宋体" w:eastAsia="宋体"/>
          <w:sz w:val="24"/>
        </w:rPr>
        <w:t>。</w:t>
      </w:r>
    </w:p>
    <w:p>
      <w:pPr>
        <w:pStyle w:val="28"/>
        <w:autoSpaceDE w:val="0"/>
        <w:autoSpaceDN w:val="0"/>
        <w:spacing w:line="440" w:lineRule="exact"/>
        <w:ind w:firstLine="480" w:firstLineChars="200"/>
        <w:jc w:val="left"/>
        <w:rPr>
          <w:rFonts w:ascii="宋体" w:hAnsi="宋体" w:eastAsia="宋体"/>
          <w:kern w:val="0"/>
          <w:sz w:val="24"/>
        </w:rPr>
      </w:pPr>
      <w:r>
        <w:rPr>
          <w:rFonts w:ascii="宋体" w:hAnsi="宋体" w:eastAsia="宋体"/>
          <w:sz w:val="24"/>
        </w:rPr>
        <w:t xml:space="preserve">7.1.2 </w:t>
      </w:r>
      <w:r>
        <w:rPr>
          <w:rFonts w:hint="eastAsia" w:ascii="宋体" w:hAnsi="宋体" w:eastAsia="宋体"/>
          <w:kern w:val="0"/>
          <w:sz w:val="24"/>
        </w:rPr>
        <w:t>施工组织设计的提交和修改</w:t>
      </w:r>
    </w:p>
    <w:p>
      <w:pPr>
        <w:pStyle w:val="28"/>
        <w:autoSpaceDE w:val="0"/>
        <w:autoSpaceDN w:val="0"/>
        <w:spacing w:line="440" w:lineRule="exact"/>
        <w:ind w:firstLine="480" w:firstLineChars="200"/>
        <w:jc w:val="left"/>
        <w:rPr>
          <w:rFonts w:ascii="宋体" w:hAnsi="宋体" w:eastAsia="宋体"/>
          <w:sz w:val="24"/>
        </w:rPr>
      </w:pPr>
      <w:r>
        <w:rPr>
          <w:rFonts w:hint="eastAsia" w:ascii="宋体" w:hAnsi="宋体" w:eastAsia="宋体"/>
          <w:kern w:val="0"/>
          <w:sz w:val="24"/>
        </w:rPr>
        <w:t>承包人提交详细施工组织设计的期限的约定：</w:t>
      </w:r>
      <w:r>
        <w:rPr>
          <w:rFonts w:hint="eastAsia" w:ascii="宋体" w:hAnsi="宋体" w:eastAsia="宋体"/>
          <w:sz w:val="24"/>
          <w:u w:val="single"/>
        </w:rPr>
        <w:t>在开工前</w:t>
      </w:r>
      <w:r>
        <w:rPr>
          <w:rFonts w:ascii="宋体" w:hAnsi="宋体" w:eastAsia="宋体"/>
          <w:sz w:val="24"/>
          <w:u w:val="single"/>
        </w:rPr>
        <w:t>3日内</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发包人和监理人在收到详细的施工组织设计后确认或提出修改意见的期限：</w:t>
      </w:r>
      <w:r>
        <w:rPr>
          <w:rFonts w:hint="eastAsia" w:ascii="宋体" w:hAnsi="宋体" w:eastAsia="宋体"/>
          <w:sz w:val="24"/>
          <w:u w:val="single"/>
        </w:rPr>
        <w:t>按通用条款执行</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7.2 </w:t>
      </w:r>
      <w:r>
        <w:rPr>
          <w:rFonts w:hint="eastAsia" w:ascii="宋体" w:hAnsi="宋体" w:eastAsia="宋体"/>
          <w:sz w:val="24"/>
        </w:rPr>
        <w:t>施工进度计划</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7.2.2 </w:t>
      </w:r>
      <w:r>
        <w:rPr>
          <w:rFonts w:hint="eastAsia" w:ascii="宋体" w:hAnsi="宋体" w:eastAsia="宋体"/>
          <w:sz w:val="24"/>
        </w:rPr>
        <w:t>施工进度计划的修订</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发包人和监理人在收到修订的施工进度计划后确认或提出修改意见的期限：</w:t>
      </w:r>
      <w:r>
        <w:rPr>
          <w:rFonts w:hint="eastAsia" w:ascii="宋体" w:hAnsi="宋体" w:eastAsia="宋体"/>
          <w:sz w:val="24"/>
          <w:u w:val="single"/>
        </w:rPr>
        <w:t>按通用条款执行</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7.3 </w:t>
      </w:r>
      <w:r>
        <w:rPr>
          <w:rFonts w:hint="eastAsia" w:ascii="宋体" w:hAnsi="宋体" w:eastAsia="宋体"/>
          <w:sz w:val="24"/>
        </w:rPr>
        <w:t>开工</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7.3.1 </w:t>
      </w:r>
      <w:r>
        <w:rPr>
          <w:rFonts w:hint="eastAsia" w:ascii="宋体" w:hAnsi="宋体" w:eastAsia="宋体"/>
          <w:sz w:val="24"/>
        </w:rPr>
        <w:t>开工准备</w:t>
      </w:r>
    </w:p>
    <w:p>
      <w:pPr>
        <w:pStyle w:val="28"/>
        <w:spacing w:line="440" w:lineRule="exact"/>
        <w:ind w:firstLine="645"/>
        <w:jc w:val="left"/>
        <w:rPr>
          <w:rFonts w:ascii="宋体" w:hAnsi="宋体" w:eastAsia="宋体"/>
          <w:sz w:val="24"/>
          <w:u w:val="single"/>
        </w:rPr>
      </w:pPr>
      <w:r>
        <w:rPr>
          <w:rFonts w:hint="eastAsia" w:ascii="宋体" w:hAnsi="宋体" w:eastAsia="宋体"/>
          <w:sz w:val="24"/>
        </w:rPr>
        <w:t>关于承包人提交</w:t>
      </w:r>
      <w:r>
        <w:rPr>
          <w:rFonts w:hint="eastAsia" w:ascii="宋体" w:hAnsi="宋体" w:eastAsia="宋体"/>
          <w:kern w:val="0"/>
          <w:sz w:val="24"/>
        </w:rPr>
        <w:t>工程开工报审表的期限：</w:t>
      </w:r>
      <w:r>
        <w:rPr>
          <w:rFonts w:hint="eastAsia" w:ascii="宋体" w:hAnsi="宋体" w:eastAsia="宋体"/>
          <w:sz w:val="24"/>
          <w:u w:val="single"/>
        </w:rPr>
        <w:t>按通用条款规定执行</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关于发包人应完成的其他开工准备工作及期限：</w:t>
      </w:r>
      <w:r>
        <w:rPr>
          <w:rFonts w:ascii="宋体" w:hAnsi="宋体" w:eastAsia="宋体"/>
          <w:sz w:val="24"/>
          <w:u w:val="single"/>
        </w:rPr>
        <w:t>/</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关于承包人应完成的其他开工准备工作及期限：</w:t>
      </w:r>
      <w:r>
        <w:rPr>
          <w:rFonts w:ascii="宋体" w:hAnsi="宋体" w:eastAsia="宋体"/>
          <w:sz w:val="24"/>
          <w:u w:val="single"/>
        </w:rPr>
        <w:t>/</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7.3.2开工通知</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因发包人原因造成监理人未能在计划开工日期之日起</w:t>
      </w:r>
      <w:r>
        <w:rPr>
          <w:rFonts w:ascii="宋体" w:hAnsi="宋体" w:eastAsia="宋体"/>
          <w:sz w:val="24"/>
          <w:u w:val="single"/>
        </w:rPr>
        <w:t xml:space="preserve">  / </w:t>
      </w:r>
      <w:r>
        <w:rPr>
          <w:rFonts w:hint="eastAsia" w:ascii="宋体" w:hAnsi="宋体" w:eastAsia="宋体"/>
          <w:sz w:val="24"/>
        </w:rPr>
        <w:t>天内发出开工通知的，承包人有权提出价格调整要求，或者解除合同。</w:t>
      </w:r>
    </w:p>
    <w:p>
      <w:pPr>
        <w:pStyle w:val="28"/>
        <w:spacing w:line="440" w:lineRule="exact"/>
        <w:ind w:firstLine="480" w:firstLineChars="200"/>
        <w:rPr>
          <w:rFonts w:ascii="宋体" w:hAnsi="宋体" w:eastAsia="宋体"/>
          <w:sz w:val="24"/>
        </w:rPr>
      </w:pPr>
      <w:r>
        <w:rPr>
          <w:rFonts w:ascii="宋体" w:hAnsi="宋体" w:eastAsia="宋体"/>
          <w:sz w:val="24"/>
        </w:rPr>
        <w:t xml:space="preserve">7.4 </w:t>
      </w:r>
      <w:r>
        <w:rPr>
          <w:rFonts w:hint="eastAsia" w:ascii="宋体" w:hAnsi="宋体" w:eastAsia="宋体"/>
          <w:sz w:val="24"/>
        </w:rPr>
        <w:t>测量放线</w:t>
      </w:r>
    </w:p>
    <w:p>
      <w:pPr>
        <w:pStyle w:val="28"/>
        <w:spacing w:line="440" w:lineRule="exact"/>
        <w:ind w:firstLine="480" w:firstLineChars="200"/>
        <w:jc w:val="left"/>
        <w:rPr>
          <w:rFonts w:ascii="宋体" w:hAnsi="宋体" w:eastAsia="宋体"/>
          <w:sz w:val="24"/>
          <w:u w:val="single"/>
        </w:rPr>
      </w:pPr>
      <w:r>
        <w:rPr>
          <w:rFonts w:ascii="宋体" w:hAnsi="宋体" w:eastAsia="宋体"/>
          <w:sz w:val="24"/>
        </w:rPr>
        <w:t>7.4.1发包人通过监理人向承包人提供测量基准点、基准线和水准点及其书面资料的期限：</w:t>
      </w:r>
      <w:r>
        <w:rPr>
          <w:rFonts w:hint="eastAsia" w:ascii="宋体" w:hAnsi="宋体" w:eastAsia="宋体"/>
          <w:sz w:val="24"/>
          <w:u w:val="single"/>
        </w:rPr>
        <w:t>按通用条款执行</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7.5 </w:t>
      </w:r>
      <w:r>
        <w:rPr>
          <w:rFonts w:hint="eastAsia" w:ascii="宋体" w:hAnsi="宋体" w:eastAsia="宋体"/>
          <w:sz w:val="24"/>
        </w:rPr>
        <w:t>工期延误</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7.5.1 </w:t>
      </w:r>
      <w:r>
        <w:rPr>
          <w:rFonts w:hint="eastAsia" w:ascii="宋体" w:hAnsi="宋体" w:eastAsia="宋体"/>
          <w:sz w:val="24"/>
        </w:rPr>
        <w:t>因发包人原因导致工期延误</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w:t>
      </w:r>
      <w:r>
        <w:rPr>
          <w:rFonts w:ascii="宋体" w:hAnsi="宋体" w:eastAsia="宋体"/>
          <w:sz w:val="24"/>
        </w:rPr>
        <w:t>7）因发包人原因导致工期延误的其他情形：</w:t>
      </w:r>
      <w:r>
        <w:rPr>
          <w:rFonts w:hint="eastAsia" w:ascii="宋体" w:hAnsi="宋体" w:eastAsia="宋体"/>
          <w:sz w:val="24"/>
          <w:u w:val="single"/>
        </w:rPr>
        <w:t>若因发包人原因造成工期延误的，工期相应后延，但不补偿承包人任何费用。因不可抗力的原因造成的工期延误，应在不可抗力事件结束之日起</w:t>
      </w:r>
      <w:r>
        <w:rPr>
          <w:rFonts w:ascii="宋体" w:hAnsi="宋体" w:eastAsia="宋体"/>
          <w:sz w:val="24"/>
          <w:u w:val="single"/>
        </w:rPr>
        <w:t>15天内经监理单位、发包人的签证认可后，工期可相应顺延，双方办理同意顺延工期手续</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7.5.2 </w:t>
      </w:r>
      <w:r>
        <w:rPr>
          <w:rFonts w:hint="eastAsia" w:ascii="宋体" w:hAnsi="宋体" w:eastAsia="宋体"/>
          <w:sz w:val="24"/>
        </w:rPr>
        <w:t>因承包人原因导致工期延误</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因承包人原因造成工期延误，逾期竣工违约金的计算方法为：</w:t>
      </w:r>
      <w:r>
        <w:rPr>
          <w:rFonts w:hint="eastAsia" w:ascii="宋体" w:hAnsi="宋体" w:eastAsia="宋体"/>
          <w:b/>
          <w:bCs/>
          <w:sz w:val="24"/>
          <w:u w:val="single"/>
        </w:rPr>
        <w:t>若因承包人原因造成关键节点工期或施工总工期延误，则工期每延误一天，发包人有权在合同款中扣除承包人每天</w:t>
      </w:r>
      <w:r>
        <w:rPr>
          <w:rFonts w:ascii="宋体" w:hAnsi="宋体" w:eastAsia="宋体"/>
          <w:b/>
          <w:bCs/>
          <w:sz w:val="24"/>
          <w:u w:val="single"/>
        </w:rPr>
        <w:t>5000元人民币。若因发包人原因造成施工工期延误的，承包人施工工期相应顺延，费用不补。因不可抗力的原因造成的施工工期延误，应在不可抗力事件结束之日起5天内经监理单位、发包人的签证认可后，施工工期可相应顺延，双方办理同意顺延施工工期手续</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因承包人原因造成工期延误，逾期竣工违约金的上限：</w:t>
      </w:r>
      <w:r>
        <w:rPr>
          <w:rFonts w:hint="eastAsia" w:ascii="宋体" w:hAnsi="宋体" w:eastAsia="宋体"/>
          <w:sz w:val="24"/>
          <w:u w:val="single"/>
        </w:rPr>
        <w:t>合同价款的</w:t>
      </w:r>
      <w:r>
        <w:rPr>
          <w:rFonts w:ascii="宋体" w:hAnsi="宋体" w:eastAsia="宋体"/>
          <w:sz w:val="24"/>
          <w:u w:val="single"/>
        </w:rPr>
        <w:t>10%</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7.6 </w:t>
      </w:r>
      <w:r>
        <w:rPr>
          <w:rFonts w:hint="eastAsia" w:ascii="宋体" w:hAnsi="宋体" w:eastAsia="宋体"/>
          <w:sz w:val="24"/>
        </w:rPr>
        <w:t>不利物质条件</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不利物质条件的其他情形和有关约定：</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7.7异常恶劣的气候条件</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发包人和承包人同意以下情形视为异常恶劣的气候条件：</w:t>
      </w:r>
    </w:p>
    <w:p>
      <w:pPr>
        <w:pStyle w:val="28"/>
        <w:spacing w:line="360" w:lineRule="auto"/>
        <w:ind w:firstLine="480"/>
        <w:jc w:val="left"/>
        <w:rPr>
          <w:rFonts w:ascii="宋体" w:hAnsi="宋体" w:eastAsia="宋体"/>
          <w:kern w:val="0"/>
          <w:sz w:val="24"/>
          <w:u w:val="single"/>
        </w:rPr>
      </w:pPr>
      <w:r>
        <w:rPr>
          <w:rFonts w:hint="eastAsia" w:ascii="宋体" w:hAnsi="宋体" w:eastAsia="宋体"/>
          <w:kern w:val="0"/>
          <w:sz w:val="24"/>
          <w:u w:val="single"/>
        </w:rPr>
        <w:t>（</w:t>
      </w:r>
      <w:r>
        <w:rPr>
          <w:rFonts w:ascii="宋体" w:hAnsi="宋体" w:eastAsia="宋体"/>
          <w:kern w:val="0"/>
          <w:sz w:val="24"/>
          <w:u w:val="single"/>
        </w:rPr>
        <w:t>1）8级以上（包含8级）的台风；</w:t>
      </w:r>
    </w:p>
    <w:p>
      <w:pPr>
        <w:pStyle w:val="28"/>
        <w:spacing w:line="360" w:lineRule="auto"/>
        <w:ind w:firstLine="480"/>
        <w:jc w:val="left"/>
        <w:rPr>
          <w:rFonts w:ascii="宋体" w:hAnsi="宋体" w:eastAsia="宋体"/>
          <w:kern w:val="0"/>
          <w:sz w:val="24"/>
          <w:u w:val="single"/>
        </w:rPr>
      </w:pPr>
      <w:r>
        <w:rPr>
          <w:rFonts w:hint="eastAsia" w:ascii="宋体" w:hAnsi="宋体" w:eastAsia="宋体"/>
          <w:kern w:val="0"/>
          <w:sz w:val="24"/>
          <w:u w:val="single"/>
        </w:rPr>
        <w:t>（</w:t>
      </w:r>
      <w:r>
        <w:rPr>
          <w:rFonts w:ascii="宋体" w:hAnsi="宋体" w:eastAsia="宋体"/>
          <w:kern w:val="0"/>
          <w:sz w:val="24"/>
          <w:u w:val="single"/>
        </w:rPr>
        <w:t xml:space="preserve">2）在连续24小时内所降雨量超过50mm（包含50mm） </w:t>
      </w:r>
      <w:r>
        <w:rPr>
          <w:rFonts w:hint="eastAsia" w:ascii="宋体" w:hAnsi="宋体" w:eastAsia="宋体"/>
          <w:kern w:val="0"/>
          <w:sz w:val="24"/>
          <w:u w:val="single"/>
        </w:rPr>
        <w:t>；</w:t>
      </w:r>
    </w:p>
    <w:p>
      <w:pPr>
        <w:pStyle w:val="28"/>
        <w:spacing w:line="360" w:lineRule="auto"/>
        <w:ind w:firstLine="480" w:firstLineChars="200"/>
        <w:jc w:val="left"/>
        <w:rPr>
          <w:rFonts w:ascii="宋体" w:hAnsi="宋体" w:eastAsia="宋体"/>
          <w:kern w:val="0"/>
          <w:sz w:val="24"/>
          <w:u w:val="single"/>
        </w:rPr>
      </w:pPr>
      <w:r>
        <w:rPr>
          <w:rFonts w:hint="eastAsia" w:ascii="宋体" w:hAnsi="宋体" w:eastAsia="宋体"/>
          <w:kern w:val="0"/>
          <w:sz w:val="24"/>
          <w:u w:val="single"/>
        </w:rPr>
        <w:t>（</w:t>
      </w:r>
      <w:r>
        <w:rPr>
          <w:rFonts w:ascii="宋体" w:hAnsi="宋体" w:eastAsia="宋体"/>
          <w:kern w:val="0"/>
          <w:sz w:val="24"/>
          <w:u w:val="single"/>
        </w:rPr>
        <w:t>3）造成工程损坏的冰雹和大雪灾害：日降雪量10mm及以上；</w:t>
      </w:r>
    </w:p>
    <w:p>
      <w:pPr>
        <w:pStyle w:val="28"/>
        <w:spacing w:line="360" w:lineRule="auto"/>
        <w:ind w:firstLine="480"/>
        <w:jc w:val="left"/>
        <w:rPr>
          <w:rFonts w:ascii="宋体" w:hAnsi="宋体" w:eastAsia="宋体"/>
          <w:kern w:val="0"/>
          <w:sz w:val="24"/>
          <w:u w:val="single"/>
        </w:rPr>
      </w:pPr>
      <w:r>
        <w:rPr>
          <w:rFonts w:hint="eastAsia" w:ascii="宋体" w:hAnsi="宋体" w:eastAsia="宋体"/>
          <w:kern w:val="0"/>
          <w:sz w:val="24"/>
          <w:u w:val="single"/>
        </w:rPr>
        <w:t>（</w:t>
      </w:r>
      <w:r>
        <w:rPr>
          <w:rFonts w:ascii="宋体" w:hAnsi="宋体" w:eastAsia="宋体"/>
          <w:kern w:val="0"/>
          <w:sz w:val="24"/>
          <w:u w:val="single"/>
        </w:rPr>
        <w:t>4）摄氏40度以上（包含摄氏40度）的高温天气大于3天；</w:t>
      </w:r>
    </w:p>
    <w:p>
      <w:pPr>
        <w:pStyle w:val="28"/>
        <w:spacing w:line="360" w:lineRule="auto"/>
        <w:ind w:firstLine="480"/>
        <w:jc w:val="left"/>
        <w:rPr>
          <w:rFonts w:ascii="宋体" w:hAnsi="宋体" w:eastAsia="宋体"/>
          <w:kern w:val="0"/>
          <w:sz w:val="24"/>
          <w:u w:val="single"/>
        </w:rPr>
      </w:pPr>
      <w:r>
        <w:rPr>
          <w:rFonts w:hint="eastAsia" w:ascii="宋体" w:hAnsi="宋体" w:eastAsia="宋体"/>
          <w:kern w:val="0"/>
          <w:sz w:val="24"/>
          <w:u w:val="single"/>
        </w:rPr>
        <w:t>（</w:t>
      </w:r>
      <w:r>
        <w:rPr>
          <w:rFonts w:ascii="宋体" w:hAnsi="宋体" w:eastAsia="宋体"/>
          <w:kern w:val="0"/>
          <w:sz w:val="24"/>
          <w:u w:val="single"/>
        </w:rPr>
        <w:t xml:space="preserve">5）摄氏零下5度以下（包含零下5度）的严寒天气大于3天； </w:t>
      </w:r>
    </w:p>
    <w:p>
      <w:pPr>
        <w:pStyle w:val="28"/>
        <w:spacing w:line="360" w:lineRule="auto"/>
        <w:ind w:firstLine="480"/>
        <w:jc w:val="left"/>
        <w:rPr>
          <w:rFonts w:ascii="宋体" w:hAnsi="宋体" w:eastAsia="宋体"/>
          <w:kern w:val="0"/>
          <w:sz w:val="24"/>
          <w:u w:val="single"/>
        </w:rPr>
      </w:pPr>
      <w:r>
        <w:rPr>
          <w:rFonts w:hint="eastAsia" w:ascii="宋体" w:hAnsi="宋体" w:eastAsia="宋体"/>
          <w:kern w:val="0"/>
          <w:sz w:val="24"/>
          <w:u w:val="single"/>
        </w:rPr>
        <w:t>（</w:t>
      </w:r>
      <w:r>
        <w:rPr>
          <w:rFonts w:ascii="宋体" w:hAnsi="宋体" w:eastAsia="宋体"/>
          <w:kern w:val="0"/>
          <w:sz w:val="24"/>
          <w:u w:val="single"/>
        </w:rPr>
        <w:t>6）其它异常恶劣气候灾害。</w:t>
      </w:r>
    </w:p>
    <w:p>
      <w:pPr>
        <w:pStyle w:val="28"/>
        <w:spacing w:line="440" w:lineRule="exact"/>
        <w:ind w:firstLine="480" w:firstLineChars="200"/>
        <w:jc w:val="left"/>
        <w:rPr>
          <w:rFonts w:ascii="宋体" w:hAnsi="宋体" w:eastAsia="宋体"/>
          <w:sz w:val="24"/>
        </w:rPr>
      </w:pPr>
      <w:r>
        <w:rPr>
          <w:rFonts w:hint="eastAsia" w:ascii="宋体" w:hAnsi="宋体" w:eastAsia="宋体"/>
          <w:kern w:val="0"/>
          <w:sz w:val="24"/>
        </w:rPr>
        <w:t>所有上述风、雨、雪、气温等都以佛山市气象局测定或公布的数据为准。</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7.9 </w:t>
      </w:r>
      <w:r>
        <w:rPr>
          <w:rFonts w:hint="eastAsia" w:ascii="宋体" w:hAnsi="宋体" w:eastAsia="宋体"/>
          <w:sz w:val="24"/>
        </w:rPr>
        <w:t>提前竣工的奖励</w:t>
      </w:r>
    </w:p>
    <w:p>
      <w:pPr>
        <w:pStyle w:val="28"/>
        <w:spacing w:line="440" w:lineRule="exact"/>
        <w:ind w:firstLine="480" w:firstLineChars="200"/>
        <w:jc w:val="left"/>
        <w:rPr>
          <w:rFonts w:ascii="宋体" w:hAnsi="宋体" w:eastAsia="宋体"/>
          <w:sz w:val="24"/>
        </w:rPr>
      </w:pPr>
      <w:r>
        <w:rPr>
          <w:rFonts w:ascii="宋体" w:hAnsi="宋体" w:eastAsia="宋体"/>
          <w:sz w:val="24"/>
        </w:rPr>
        <w:t>7.9.2提前竣工的奖励：</w:t>
      </w:r>
      <w:r>
        <w:rPr>
          <w:rFonts w:ascii="宋体" w:hAnsi="宋体" w:eastAsia="宋体"/>
          <w:sz w:val="24"/>
          <w:u w:val="single"/>
        </w:rPr>
        <w:t xml:space="preserve"> 无  </w:t>
      </w:r>
      <w:r>
        <w:rPr>
          <w:rFonts w:hint="eastAsia" w:ascii="宋体" w:hAnsi="宋体" w:eastAsia="宋体"/>
          <w:sz w:val="24"/>
        </w:rPr>
        <w:t>。</w:t>
      </w:r>
    </w:p>
    <w:p>
      <w:pPr>
        <w:pStyle w:val="28"/>
        <w:spacing w:line="440" w:lineRule="exact"/>
        <w:jc w:val="left"/>
        <w:outlineLvl w:val="1"/>
        <w:rPr>
          <w:rFonts w:ascii="宋体" w:hAnsi="宋体" w:eastAsia="宋体"/>
          <w:sz w:val="24"/>
        </w:rPr>
      </w:pPr>
      <w:bookmarkStart w:id="248" w:name="_Toc20306"/>
      <w:r>
        <w:rPr>
          <w:rFonts w:ascii="宋体" w:hAnsi="宋体" w:eastAsia="宋体"/>
          <w:sz w:val="24"/>
        </w:rPr>
        <w:t xml:space="preserve">8. </w:t>
      </w:r>
      <w:r>
        <w:rPr>
          <w:rFonts w:hint="eastAsia" w:ascii="宋体" w:hAnsi="宋体" w:eastAsia="宋体"/>
          <w:sz w:val="24"/>
        </w:rPr>
        <w:t>材料与设备</w:t>
      </w:r>
      <w:bookmarkEnd w:id="248"/>
    </w:p>
    <w:p>
      <w:pPr>
        <w:pStyle w:val="28"/>
        <w:spacing w:line="440" w:lineRule="exact"/>
        <w:ind w:firstLine="480" w:firstLineChars="200"/>
        <w:rPr>
          <w:rFonts w:ascii="宋体" w:hAnsi="宋体" w:eastAsia="宋体"/>
          <w:sz w:val="24"/>
        </w:rPr>
      </w:pPr>
      <w:r>
        <w:rPr>
          <w:rFonts w:ascii="宋体" w:hAnsi="宋体" w:eastAsia="宋体"/>
          <w:sz w:val="24"/>
        </w:rPr>
        <w:t>8.4材料与工程设备的保管与使用</w:t>
      </w:r>
    </w:p>
    <w:p>
      <w:pPr>
        <w:pStyle w:val="28"/>
        <w:autoSpaceDE w:val="0"/>
        <w:autoSpaceDN w:val="0"/>
        <w:adjustRightInd w:val="0"/>
        <w:spacing w:line="400" w:lineRule="exact"/>
        <w:ind w:firstLine="424" w:firstLineChars="177"/>
        <w:jc w:val="left"/>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1）承包人负责采购材料设备的，应按照合同文件有关要求，采购前应取得发包人和监理工程师同意及按设计和有关标准要求采购，并提供产品合格证明，对材料设备质量负责。未取得发包人和监理工程师批准的，不予计量。</w:t>
      </w:r>
    </w:p>
    <w:p>
      <w:pPr>
        <w:pStyle w:val="28"/>
        <w:autoSpaceDE w:val="0"/>
        <w:autoSpaceDN w:val="0"/>
        <w:adjustRightInd w:val="0"/>
        <w:spacing w:line="360" w:lineRule="auto"/>
        <w:ind w:firstLine="424" w:firstLineChars="177"/>
        <w:jc w:val="left"/>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2）承包人采购的材料设备在使用前，承包人应按监理工程师的要求进行检验或试验，不合格的不得使用，检验或试验费用由承包人承担。</w:t>
      </w:r>
    </w:p>
    <w:p>
      <w:pPr>
        <w:pStyle w:val="28"/>
        <w:autoSpaceDE w:val="0"/>
        <w:autoSpaceDN w:val="0"/>
        <w:adjustRightInd w:val="0"/>
        <w:spacing w:line="360" w:lineRule="auto"/>
        <w:ind w:firstLine="424" w:firstLineChars="177"/>
        <w:jc w:val="left"/>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3）监理工程师发现承包人采购并使用不符合设计或标准要求的材料设备时，应要求由承包人负责修复、拆除或重新采购，并承担发生的费用，由此延误的工期不予顺延。</w:t>
      </w:r>
    </w:p>
    <w:p>
      <w:pPr>
        <w:pStyle w:val="28"/>
        <w:adjustRightInd w:val="0"/>
        <w:spacing w:line="420" w:lineRule="atLeast"/>
        <w:jc w:val="left"/>
        <w:rPr>
          <w:rFonts w:ascii="宋体" w:hAnsi="宋体" w:eastAsia="宋体"/>
          <w:kern w:val="0"/>
        </w:rPr>
      </w:pPr>
      <w:r>
        <w:rPr>
          <w:rFonts w:hint="eastAsia" w:ascii="宋体" w:hAnsi="宋体" w:eastAsia="宋体"/>
          <w:kern w:val="0"/>
          <w:sz w:val="24"/>
          <w:u w:val="single"/>
        </w:rPr>
        <w:t>（</w:t>
      </w:r>
      <w:r>
        <w:rPr>
          <w:rFonts w:ascii="宋体" w:hAnsi="宋体" w:eastAsia="宋体"/>
          <w:kern w:val="0"/>
          <w:sz w:val="24"/>
          <w:u w:val="single"/>
        </w:rPr>
        <w:t>4）本工程选用的材料质量均应符合国家标准要求，并能通过相关管理部门验收合格，参考图纸、竞争性磋商文件及工程量清单所提供的材料品牌档次来报价，并作为施工材料选定的依据，因承包人提升材料品牌档次而引起的造价增加，发包人不予调整。在工程施工过程中，承包人应按照</w:t>
      </w:r>
      <w:r>
        <w:rPr>
          <w:rFonts w:hint="eastAsia" w:ascii="宋体" w:hAnsi="宋体" w:eastAsia="宋体"/>
          <w:kern w:val="0"/>
          <w:sz w:val="24"/>
          <w:u w:val="single"/>
        </w:rPr>
        <w:t>响应</w:t>
      </w:r>
      <w:r>
        <w:rPr>
          <w:rFonts w:ascii="宋体" w:hAnsi="宋体" w:eastAsia="宋体"/>
          <w:kern w:val="0"/>
          <w:sz w:val="24"/>
          <w:u w:val="single"/>
        </w:rPr>
        <w:t>承诺及设计和有关标准要求供应材料，并提供产品合格证明，对材料设备质量负责。承包人采购的材料设备在使用前，承包人应按相关规范或监理工程师的要求进行检验或试验，不合格的不得使用，检验、试验或检测费由发包人、承包人按规定各自承担。所有材料必须经发包人、监理单位确认后方可进场施工使用。</w:t>
      </w:r>
    </w:p>
    <w:p>
      <w:pPr>
        <w:pStyle w:val="28"/>
        <w:spacing w:line="440" w:lineRule="exact"/>
        <w:ind w:firstLine="480" w:firstLineChars="200"/>
        <w:jc w:val="left"/>
        <w:rPr>
          <w:rFonts w:ascii="宋体" w:hAnsi="宋体" w:eastAsia="宋体"/>
          <w:sz w:val="24"/>
        </w:rPr>
      </w:pPr>
      <w:r>
        <w:rPr>
          <w:rFonts w:ascii="宋体" w:hAnsi="宋体" w:eastAsia="宋体"/>
          <w:sz w:val="24"/>
        </w:rPr>
        <w:t>8.4.1发包人供应的材料设备的保管费用的承担：</w:t>
      </w:r>
      <w:r>
        <w:rPr>
          <w:rFonts w:hint="eastAsia" w:ascii="宋体" w:hAnsi="宋体" w:eastAsia="宋体"/>
          <w:sz w:val="24"/>
          <w:u w:val="single"/>
        </w:rPr>
        <w:t>发包人不供应材料和工程设备，本款不适用</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8.6 </w:t>
      </w:r>
      <w:r>
        <w:rPr>
          <w:rFonts w:hint="eastAsia" w:ascii="宋体" w:hAnsi="宋体" w:eastAsia="宋体"/>
          <w:sz w:val="24"/>
        </w:rPr>
        <w:t>样品</w:t>
      </w:r>
    </w:p>
    <w:p>
      <w:pPr>
        <w:pStyle w:val="28"/>
        <w:autoSpaceDE w:val="0"/>
        <w:autoSpaceDN w:val="0"/>
        <w:spacing w:line="440" w:lineRule="exact"/>
        <w:ind w:firstLine="480" w:firstLineChars="200"/>
        <w:jc w:val="left"/>
        <w:rPr>
          <w:rFonts w:ascii="宋体" w:hAnsi="宋体" w:eastAsia="宋体"/>
          <w:kern w:val="0"/>
          <w:sz w:val="24"/>
        </w:rPr>
      </w:pPr>
      <w:r>
        <w:rPr>
          <w:rFonts w:ascii="宋体" w:hAnsi="宋体" w:eastAsia="宋体"/>
          <w:kern w:val="0"/>
          <w:sz w:val="24"/>
        </w:rPr>
        <w:t>8.6.1</w:t>
      </w:r>
      <w:r>
        <w:rPr>
          <w:rFonts w:ascii="宋体" w:hAnsi="宋体" w:eastAsia="宋体"/>
          <w:kern w:val="0"/>
          <w:sz w:val="24"/>
        </w:rPr>
        <w:tab/>
      </w:r>
      <w:r>
        <w:rPr>
          <w:rFonts w:hint="eastAsia" w:ascii="宋体" w:hAnsi="宋体" w:eastAsia="宋体"/>
          <w:kern w:val="0"/>
          <w:sz w:val="24"/>
        </w:rPr>
        <w:t>样品的报送与封存</w:t>
      </w:r>
    </w:p>
    <w:p>
      <w:pPr>
        <w:pStyle w:val="28"/>
        <w:autoSpaceDE w:val="0"/>
        <w:autoSpaceDN w:val="0"/>
        <w:spacing w:line="440" w:lineRule="exact"/>
        <w:jc w:val="left"/>
        <w:rPr>
          <w:rFonts w:ascii="宋体" w:hAnsi="宋体" w:eastAsia="宋体"/>
          <w:sz w:val="24"/>
        </w:rPr>
      </w:pPr>
      <w:r>
        <w:rPr>
          <w:rFonts w:hint="eastAsia" w:ascii="宋体" w:hAnsi="宋体" w:eastAsia="宋体"/>
          <w:kern w:val="0"/>
          <w:sz w:val="24"/>
        </w:rPr>
        <w:t>需要承包人报送样品的材料或工程设备，样品的种类、名称、规格、数量要求：</w:t>
      </w:r>
      <w:r>
        <w:rPr>
          <w:rFonts w:hint="eastAsia" w:ascii="宋体" w:hAnsi="宋体" w:eastAsia="宋体"/>
          <w:sz w:val="24"/>
          <w:u w:val="single"/>
        </w:rPr>
        <w:t>承包人采购的材料和工程设备必须符合设计文件和国家、广东省、佛山市行业的相关规范、标准及本合同相关规定；施工材料和设备进场前必须进行见证取样送三水区检测站或相关具有资质的单位进行检测试验，监测合格后方可使用；检验费用由承包人承担。发包人认为重要的需报送的材料或工程设备需经发包人认可后方可采购和进场。承包人在施工过程中不能使用与样品不符的材料或工程设备。发包人和监理人对样品的审批确认不减轻或免除承包人的任何责任，承包人不能以此做为对发包人和监理人的抗辩理由</w:t>
      </w:r>
      <w:r>
        <w:rPr>
          <w:rFonts w:hint="eastAsia" w:ascii="宋体" w:hAnsi="宋体" w:eastAsia="宋体"/>
          <w:sz w:val="24"/>
        </w:rPr>
        <w:t>。</w:t>
      </w:r>
      <w:r>
        <w:rPr>
          <w:rFonts w:hint="eastAsia" w:ascii="宋体" w:hAnsi="宋体" w:eastAsia="宋体"/>
          <w:b/>
          <w:bCs/>
          <w:sz w:val="24"/>
          <w:u w:val="single"/>
        </w:rPr>
        <w:t>承包人负责材料送检和现场抽检的费用，提供的标准样板检测及支付检测费用。以上费用承包人在合同价中包含此费用。</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8.8 </w:t>
      </w:r>
      <w:r>
        <w:rPr>
          <w:rFonts w:hint="eastAsia" w:ascii="宋体" w:hAnsi="宋体" w:eastAsia="宋体"/>
          <w:sz w:val="24"/>
        </w:rPr>
        <w:t>施工设备和临时设施</w:t>
      </w:r>
    </w:p>
    <w:p>
      <w:pPr>
        <w:pStyle w:val="28"/>
        <w:autoSpaceDE w:val="0"/>
        <w:autoSpaceDN w:val="0"/>
        <w:spacing w:line="440" w:lineRule="exact"/>
        <w:ind w:firstLine="480" w:firstLineChars="200"/>
        <w:jc w:val="left"/>
        <w:rPr>
          <w:rFonts w:ascii="宋体" w:hAnsi="宋体" w:eastAsia="宋体"/>
          <w:sz w:val="24"/>
        </w:rPr>
      </w:pPr>
      <w:r>
        <w:rPr>
          <w:rFonts w:ascii="宋体" w:hAnsi="宋体" w:eastAsia="宋体"/>
          <w:sz w:val="24"/>
        </w:rPr>
        <w:t xml:space="preserve">8.8.1 </w:t>
      </w:r>
      <w:r>
        <w:rPr>
          <w:rFonts w:hint="eastAsia" w:ascii="宋体" w:hAnsi="宋体" w:eastAsia="宋体"/>
          <w:sz w:val="24"/>
        </w:rPr>
        <w:t>承包人提供的施工设备和临时设施</w:t>
      </w:r>
    </w:p>
    <w:p>
      <w:pPr>
        <w:pStyle w:val="28"/>
        <w:autoSpaceDE w:val="0"/>
        <w:autoSpaceDN w:val="0"/>
        <w:spacing w:line="440" w:lineRule="exact"/>
        <w:ind w:firstLine="480" w:firstLineChars="200"/>
        <w:jc w:val="left"/>
        <w:rPr>
          <w:rFonts w:ascii="宋体" w:hAnsi="宋体" w:eastAsia="宋体"/>
          <w:sz w:val="24"/>
        </w:rPr>
      </w:pPr>
      <w:r>
        <w:rPr>
          <w:rFonts w:hint="eastAsia" w:ascii="宋体" w:hAnsi="宋体" w:eastAsia="宋体"/>
          <w:sz w:val="24"/>
        </w:rPr>
        <w:t>关于修建临时设施费用承担的约定：</w:t>
      </w:r>
      <w:r>
        <w:rPr>
          <w:rFonts w:hint="eastAsia" w:ascii="宋体" w:hAnsi="宋体" w:eastAsia="宋体"/>
          <w:sz w:val="24"/>
          <w:u w:val="single"/>
        </w:rPr>
        <w:t>承包人应按合同工程进度计划的要求，及时配置施工设备和修建临时设施，承包人自行承担临时设施的费用，需要临时占地的，承包人自行办理申请手续并承担相应费用，该费用已包含在签约合同价中</w:t>
      </w:r>
      <w:r>
        <w:rPr>
          <w:rFonts w:hint="eastAsia" w:ascii="宋体" w:hAnsi="宋体" w:eastAsia="宋体"/>
          <w:sz w:val="24"/>
        </w:rPr>
        <w:t>。</w:t>
      </w:r>
    </w:p>
    <w:p>
      <w:pPr>
        <w:pStyle w:val="28"/>
        <w:spacing w:line="440" w:lineRule="exact"/>
        <w:jc w:val="left"/>
        <w:outlineLvl w:val="1"/>
        <w:rPr>
          <w:rFonts w:ascii="宋体" w:hAnsi="宋体" w:eastAsia="宋体"/>
          <w:sz w:val="24"/>
        </w:rPr>
      </w:pPr>
      <w:bookmarkStart w:id="249" w:name="_Toc1569"/>
      <w:r>
        <w:rPr>
          <w:rFonts w:ascii="宋体" w:hAnsi="宋体" w:eastAsia="宋体"/>
          <w:sz w:val="24"/>
        </w:rPr>
        <w:t xml:space="preserve">9. </w:t>
      </w:r>
      <w:r>
        <w:rPr>
          <w:rFonts w:hint="eastAsia" w:ascii="宋体" w:hAnsi="宋体" w:eastAsia="宋体"/>
          <w:sz w:val="24"/>
        </w:rPr>
        <w:t>试验与检验</w:t>
      </w:r>
      <w:bookmarkEnd w:id="249"/>
    </w:p>
    <w:p>
      <w:pPr>
        <w:pStyle w:val="28"/>
        <w:spacing w:line="440" w:lineRule="exact"/>
        <w:ind w:firstLine="480" w:firstLineChars="200"/>
        <w:jc w:val="left"/>
        <w:rPr>
          <w:rFonts w:ascii="宋体" w:hAnsi="宋体" w:eastAsia="宋体"/>
          <w:sz w:val="24"/>
        </w:rPr>
      </w:pPr>
      <w:r>
        <w:rPr>
          <w:rFonts w:ascii="宋体" w:hAnsi="宋体" w:eastAsia="宋体"/>
          <w:sz w:val="24"/>
        </w:rPr>
        <w:t>9.1试验设备与试验人员</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9.1.2 </w:t>
      </w:r>
      <w:r>
        <w:rPr>
          <w:rFonts w:hint="eastAsia" w:ascii="宋体" w:hAnsi="宋体" w:eastAsia="宋体"/>
          <w:sz w:val="24"/>
        </w:rPr>
        <w:t>试验设备</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施工现场需要配置的试验场所：</w:t>
      </w:r>
      <w:r>
        <w:rPr>
          <w:rFonts w:ascii="宋体" w:hAnsi="宋体" w:eastAsia="宋体"/>
          <w:sz w:val="24"/>
          <w:u w:val="single"/>
        </w:rPr>
        <w:t xml:space="preserve"> / </w:t>
      </w:r>
      <w:r>
        <w:rPr>
          <w:rFonts w:hint="eastAsia" w:ascii="宋体" w:hAnsi="宋体" w:eastAsia="宋体"/>
          <w:sz w:val="24"/>
        </w:rPr>
        <w:t>。</w:t>
      </w:r>
      <w:r>
        <w:rPr>
          <w:rFonts w:ascii="宋体" w:hAnsi="宋体" w:eastAsia="宋体"/>
          <w:sz w:val="24"/>
        </w:rPr>
        <w:t xml:space="preserve"> </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施工现场需要配备的试验设备：</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施工现场需要具备的其他试验条件：</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9.4 </w:t>
      </w:r>
      <w:r>
        <w:rPr>
          <w:rFonts w:hint="eastAsia" w:ascii="宋体" w:hAnsi="宋体" w:eastAsia="宋体"/>
          <w:sz w:val="24"/>
        </w:rPr>
        <w:t>现场工艺试验</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现场工艺试验的有关约定：</w:t>
      </w:r>
      <w:r>
        <w:rPr>
          <w:rFonts w:ascii="宋体" w:hAnsi="宋体" w:eastAsia="宋体"/>
          <w:sz w:val="24"/>
          <w:u w:val="single"/>
        </w:rPr>
        <w:t xml:space="preserve"> / </w:t>
      </w:r>
      <w:r>
        <w:rPr>
          <w:rFonts w:hint="eastAsia" w:ascii="宋体" w:hAnsi="宋体" w:eastAsia="宋体"/>
          <w:sz w:val="24"/>
        </w:rPr>
        <w:t>。</w:t>
      </w:r>
    </w:p>
    <w:p>
      <w:pPr>
        <w:pStyle w:val="28"/>
        <w:spacing w:line="440" w:lineRule="exact"/>
        <w:jc w:val="left"/>
        <w:outlineLvl w:val="1"/>
        <w:rPr>
          <w:rFonts w:ascii="宋体" w:hAnsi="宋体" w:eastAsia="宋体"/>
          <w:sz w:val="24"/>
        </w:rPr>
      </w:pPr>
      <w:bookmarkStart w:id="250" w:name="_Toc64"/>
      <w:r>
        <w:rPr>
          <w:rFonts w:ascii="宋体" w:hAnsi="宋体" w:eastAsia="宋体"/>
          <w:sz w:val="24"/>
        </w:rPr>
        <w:t xml:space="preserve">10. </w:t>
      </w:r>
      <w:r>
        <w:rPr>
          <w:rFonts w:hint="eastAsia" w:ascii="宋体" w:hAnsi="宋体" w:eastAsia="宋体"/>
          <w:sz w:val="24"/>
        </w:rPr>
        <w:t>变更</w:t>
      </w:r>
      <w:bookmarkEnd w:id="250"/>
    </w:p>
    <w:p>
      <w:pPr>
        <w:pStyle w:val="28"/>
        <w:spacing w:line="440" w:lineRule="exact"/>
        <w:ind w:firstLine="480" w:firstLineChars="200"/>
        <w:rPr>
          <w:rFonts w:ascii="宋体" w:hAnsi="宋体" w:eastAsia="宋体"/>
          <w:sz w:val="24"/>
        </w:rPr>
      </w:pPr>
      <w:r>
        <w:rPr>
          <w:rFonts w:ascii="宋体" w:hAnsi="宋体" w:eastAsia="宋体"/>
          <w:sz w:val="24"/>
        </w:rPr>
        <w:t>10.1变更的范围</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关于变更的范围的约定：</w:t>
      </w:r>
      <w:r>
        <w:rPr>
          <w:rFonts w:hint="eastAsia" w:ascii="宋体" w:hAnsi="宋体" w:eastAsia="宋体"/>
          <w:sz w:val="24"/>
          <w:u w:val="single"/>
        </w:rPr>
        <w:t>按通用条款执行</w:t>
      </w:r>
      <w:r>
        <w:rPr>
          <w:rFonts w:hint="eastAsia" w:ascii="宋体" w:hAnsi="宋体" w:eastAsia="宋体"/>
          <w:sz w:val="24"/>
        </w:rPr>
        <w:t>。</w:t>
      </w:r>
    </w:p>
    <w:p>
      <w:pPr>
        <w:pStyle w:val="28"/>
        <w:spacing w:line="440" w:lineRule="exact"/>
        <w:ind w:firstLine="420"/>
        <w:rPr>
          <w:rFonts w:ascii="宋体" w:hAnsi="宋体" w:eastAsia="宋体"/>
          <w:sz w:val="24"/>
        </w:rPr>
      </w:pPr>
      <w:r>
        <w:rPr>
          <w:rFonts w:ascii="宋体" w:hAnsi="宋体" w:eastAsia="宋体"/>
          <w:sz w:val="24"/>
        </w:rPr>
        <w:t>10.3变更程序</w:t>
      </w:r>
    </w:p>
    <w:p>
      <w:pPr>
        <w:pStyle w:val="28"/>
        <w:spacing w:line="440" w:lineRule="exact"/>
        <w:ind w:firstLine="480" w:firstLineChars="200"/>
        <w:rPr>
          <w:rFonts w:ascii="宋体" w:hAnsi="宋体" w:eastAsia="宋体"/>
          <w:sz w:val="24"/>
          <w:u w:val="single"/>
        </w:rPr>
      </w:pPr>
      <w:r>
        <w:rPr>
          <w:rFonts w:hint="eastAsia" w:ascii="宋体" w:hAnsi="宋体" w:eastAsia="宋体"/>
          <w:sz w:val="24"/>
          <w:u w:val="single"/>
        </w:rPr>
        <w:t>工程变更程序：必须按照相关管理办法执行；对工程变更、工程签证等相关事项的确认须完成发包人内部所有审批手续，不受相关条款规定的时限限制。</w:t>
      </w:r>
    </w:p>
    <w:p>
      <w:pPr>
        <w:pStyle w:val="28"/>
        <w:spacing w:line="440" w:lineRule="exact"/>
        <w:ind w:firstLine="480" w:firstLineChars="200"/>
        <w:jc w:val="left"/>
        <w:rPr>
          <w:rFonts w:ascii="宋体" w:hAnsi="宋体" w:eastAsia="宋体"/>
          <w:sz w:val="24"/>
        </w:rPr>
      </w:pPr>
      <w:r>
        <w:rPr>
          <w:rFonts w:ascii="宋体" w:hAnsi="宋体" w:eastAsia="宋体"/>
          <w:sz w:val="24"/>
          <w:u w:val="single"/>
        </w:rPr>
        <w:t xml:space="preserve">10.3.3 </w:t>
      </w:r>
      <w:r>
        <w:rPr>
          <w:rFonts w:hint="eastAsia" w:ascii="宋体" w:hAnsi="宋体" w:eastAsia="宋体"/>
          <w:sz w:val="24"/>
          <w:u w:val="single"/>
        </w:rPr>
        <w:t>变更执行</w:t>
      </w:r>
    </w:p>
    <w:p>
      <w:pPr>
        <w:pStyle w:val="28"/>
        <w:autoSpaceDE w:val="0"/>
        <w:autoSpaceDN w:val="0"/>
        <w:spacing w:line="440" w:lineRule="exact"/>
        <w:ind w:firstLine="480" w:firstLineChars="200"/>
        <w:jc w:val="left"/>
        <w:rPr>
          <w:rFonts w:ascii="宋体" w:hAnsi="宋体" w:eastAsia="宋体"/>
          <w:kern w:val="0"/>
          <w:sz w:val="24"/>
        </w:rPr>
      </w:pPr>
      <w:r>
        <w:rPr>
          <w:rFonts w:hint="eastAsia" w:ascii="宋体" w:hAnsi="宋体" w:eastAsia="宋体"/>
          <w:kern w:val="0"/>
          <w:sz w:val="24"/>
          <w:u w:val="single"/>
        </w:rPr>
        <w:t>承包人收到监理人下达的变更指示后，认为不能执行的，应立即提出不能执行该变更指示的理由，并经发包人同意后方可不执行该变更指示，否则必须执行；承包人必须在实施签证事项前以书面形式报监理及发包人审核批准，实施后三天内将相关资料、照片等提交至监理单位及发包人确认。对承包人单方认为签证事实发生的，如因承包人的原因承包人提交签证单的时间超过七个日历天，则监理人、发包人对此类签证一律拒收，承包人单方提出的签证申请不予确认，责任自负。</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10.4 </w:t>
      </w:r>
      <w:r>
        <w:rPr>
          <w:rFonts w:hint="eastAsia" w:ascii="宋体" w:hAnsi="宋体" w:eastAsia="宋体"/>
          <w:sz w:val="24"/>
        </w:rPr>
        <w:t>变更估价</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10.4.1 </w:t>
      </w:r>
      <w:r>
        <w:rPr>
          <w:rFonts w:hint="eastAsia" w:ascii="宋体" w:hAnsi="宋体" w:eastAsia="宋体"/>
          <w:sz w:val="24"/>
        </w:rPr>
        <w:t>变更估价原则</w:t>
      </w:r>
    </w:p>
    <w:p>
      <w:pPr>
        <w:pStyle w:val="28"/>
        <w:widowControl/>
        <w:spacing w:line="440" w:lineRule="exact"/>
        <w:ind w:firstLine="480"/>
        <w:jc w:val="left"/>
        <w:rPr>
          <w:rFonts w:ascii="宋体" w:hAnsi="宋体" w:eastAsia="宋体"/>
          <w:b/>
          <w:bCs/>
          <w:kern w:val="0"/>
          <w:sz w:val="24"/>
        </w:rPr>
      </w:pPr>
      <w:r>
        <w:rPr>
          <w:rFonts w:hint="eastAsia" w:ascii="宋体" w:hAnsi="宋体" w:eastAsia="宋体"/>
          <w:b/>
          <w:bCs/>
          <w:kern w:val="0"/>
          <w:sz w:val="24"/>
        </w:rPr>
        <w:t>关于变更估价的约定：在施工过程中，因设计调整、施工图发生变更或施工项目发生增减，造成工程费用的增减而引起合同价款调整的项目，承包人须作好现场记录，留下相应影像或实物资料，按合同规定的时限内将调整的原因、金额等内容以书面形式通知发包人、监理人，并得到发包人和现场监理工程师的书面确认和签证，并以此作为工程的结算依据之一。如施工过程中因工程变更而引起工程造价的改变，则改变的该部分工程量的造价按以下原则确定：</w:t>
      </w:r>
      <w:r>
        <w:rPr>
          <w:rFonts w:ascii="宋体" w:hAnsi="宋体" w:eastAsia="宋体"/>
          <w:b/>
          <w:bCs/>
          <w:kern w:val="0"/>
          <w:sz w:val="24"/>
        </w:rPr>
        <w:t xml:space="preserve"> </w:t>
      </w:r>
    </w:p>
    <w:p>
      <w:pPr>
        <w:pStyle w:val="28"/>
        <w:widowControl/>
        <w:spacing w:line="440" w:lineRule="exact"/>
        <w:jc w:val="left"/>
        <w:rPr>
          <w:rFonts w:ascii="宋体" w:hAnsi="宋体" w:eastAsia="宋体"/>
          <w:kern w:val="0"/>
          <w:sz w:val="24"/>
        </w:rPr>
      </w:pPr>
      <w:r>
        <w:rPr>
          <w:rFonts w:ascii="宋体" w:hAnsi="宋体" w:eastAsia="宋体"/>
          <w:kern w:val="0"/>
          <w:sz w:val="24"/>
        </w:rPr>
        <w:t>1）工程变更引起</w:t>
      </w:r>
      <w:r>
        <w:rPr>
          <w:rFonts w:hint="eastAsia" w:ascii="宋体" w:hAnsi="宋体" w:eastAsia="宋体"/>
          <w:b/>
          <w:bCs/>
          <w:kern w:val="0"/>
          <w:sz w:val="24"/>
        </w:rPr>
        <w:t>工程量扣减</w:t>
      </w:r>
      <w:r>
        <w:rPr>
          <w:rFonts w:hint="eastAsia" w:ascii="宋体" w:hAnsi="宋体" w:eastAsia="宋体"/>
          <w:kern w:val="0"/>
          <w:sz w:val="24"/>
        </w:rPr>
        <w:t>的项目，该扣减的工程量如响应单价高于本工程审核预算书中相应综合单价的，则按响应单价计取；如响应单价低于本工程审核预算书中相应综合单价的，则按本工程审核预算书中相应综合单价计取。</w:t>
      </w:r>
    </w:p>
    <w:p>
      <w:pPr>
        <w:pStyle w:val="28"/>
        <w:widowControl/>
        <w:spacing w:line="440" w:lineRule="exact"/>
        <w:jc w:val="left"/>
        <w:rPr>
          <w:rFonts w:ascii="宋体" w:hAnsi="宋体" w:eastAsia="宋体"/>
          <w:kern w:val="0"/>
          <w:sz w:val="24"/>
        </w:rPr>
      </w:pPr>
      <w:r>
        <w:rPr>
          <w:rFonts w:ascii="宋体" w:hAnsi="宋体" w:eastAsia="宋体"/>
          <w:kern w:val="0"/>
          <w:sz w:val="24"/>
        </w:rPr>
        <w:t>2）工程变更引起</w:t>
      </w:r>
      <w:r>
        <w:rPr>
          <w:rFonts w:hint="eastAsia" w:ascii="宋体" w:hAnsi="宋体" w:eastAsia="宋体"/>
          <w:b/>
          <w:bCs/>
          <w:kern w:val="0"/>
          <w:sz w:val="24"/>
        </w:rPr>
        <w:t>工程量增加</w:t>
      </w:r>
      <w:r>
        <w:rPr>
          <w:rFonts w:hint="eastAsia" w:ascii="宋体" w:hAnsi="宋体" w:eastAsia="宋体"/>
          <w:kern w:val="0"/>
          <w:sz w:val="24"/>
        </w:rPr>
        <w:t>的项目，该增加的工程量如响应单价高于本工程审核预算书中相应综合单价的，则按本工程审核预算书中相应综合单价计取；如响应单价低于本工程审核预算书中相应综合单价的，则按响应单价计取。</w:t>
      </w:r>
    </w:p>
    <w:p>
      <w:pPr>
        <w:pStyle w:val="28"/>
        <w:widowControl/>
        <w:spacing w:line="440" w:lineRule="exact"/>
        <w:rPr>
          <w:rFonts w:ascii="宋体" w:hAnsi="宋体" w:eastAsia="宋体"/>
          <w:kern w:val="0"/>
          <w:sz w:val="24"/>
          <w:u w:val="single"/>
        </w:rPr>
      </w:pPr>
      <w:r>
        <w:rPr>
          <w:rFonts w:ascii="宋体" w:hAnsi="宋体" w:eastAsia="宋体"/>
          <w:kern w:val="0"/>
          <w:sz w:val="24"/>
          <w:u w:val="single"/>
        </w:rPr>
        <w:t>3）合同中没有适用于工程变更项目的，则根据</w:t>
      </w:r>
      <w:r>
        <w:rPr>
          <w:rFonts w:hint="eastAsia" w:ascii="宋体"/>
          <w:kern w:val="0"/>
          <w:sz w:val="24"/>
          <w:szCs w:val="22"/>
          <w:u w:val="single"/>
          <w:lang w:val="zh-CN"/>
        </w:rPr>
        <w:t>《建设工程工程量清单计价规范</w:t>
      </w:r>
      <w:r>
        <w:rPr>
          <w:rFonts w:ascii="宋体"/>
          <w:kern w:val="0"/>
          <w:sz w:val="24"/>
          <w:szCs w:val="22"/>
          <w:u w:val="single"/>
          <w:lang w:val="zh-CN"/>
        </w:rPr>
        <w:t xml:space="preserve"> </w:t>
      </w:r>
      <w:r>
        <w:rPr>
          <w:rFonts w:ascii="宋体"/>
          <w:kern w:val="0"/>
          <w:sz w:val="24"/>
          <w:szCs w:val="22"/>
          <w:u w:val="single"/>
        </w:rPr>
        <w:t>(</w:t>
      </w:r>
      <w:r>
        <w:rPr>
          <w:rFonts w:ascii="宋体"/>
          <w:kern w:val="0"/>
          <w:sz w:val="24"/>
          <w:szCs w:val="22"/>
          <w:u w:val="single"/>
          <w:lang w:val="zh-CN"/>
        </w:rPr>
        <w:t>GB 50500-2013</w:t>
      </w:r>
      <w:r>
        <w:rPr>
          <w:rFonts w:ascii="宋体"/>
          <w:kern w:val="0"/>
          <w:sz w:val="24"/>
          <w:szCs w:val="22"/>
          <w:u w:val="single"/>
        </w:rPr>
        <w:t>)</w:t>
      </w:r>
      <w:r>
        <w:rPr>
          <w:rFonts w:hint="eastAsia" w:ascii="宋体"/>
          <w:kern w:val="0"/>
          <w:sz w:val="24"/>
          <w:szCs w:val="22"/>
          <w:u w:val="single"/>
          <w:lang w:val="zh-CN"/>
        </w:rPr>
        <w:t>》、《广东省房屋建筑与装饰工程综合定额（</w:t>
      </w:r>
      <w:r>
        <w:rPr>
          <w:rFonts w:ascii="宋体"/>
          <w:kern w:val="0"/>
          <w:sz w:val="24"/>
          <w:szCs w:val="22"/>
          <w:u w:val="single"/>
          <w:lang w:val="zh-CN"/>
        </w:rPr>
        <w:t>2018</w:t>
      </w:r>
      <w:r>
        <w:rPr>
          <w:rFonts w:hint="eastAsia" w:ascii="宋体"/>
          <w:kern w:val="0"/>
          <w:sz w:val="24"/>
          <w:szCs w:val="22"/>
          <w:u w:val="single"/>
          <w:lang w:val="zh-CN"/>
        </w:rPr>
        <w:t>）》、《广东省市政工程综合定额（</w:t>
      </w:r>
      <w:r>
        <w:rPr>
          <w:rFonts w:ascii="宋体"/>
          <w:kern w:val="0"/>
          <w:sz w:val="24"/>
          <w:szCs w:val="22"/>
          <w:u w:val="single"/>
          <w:lang w:val="zh-CN"/>
        </w:rPr>
        <w:t>2018</w:t>
      </w:r>
      <w:r>
        <w:rPr>
          <w:rFonts w:hint="eastAsia" w:ascii="宋体"/>
          <w:kern w:val="0"/>
          <w:sz w:val="24"/>
          <w:szCs w:val="22"/>
          <w:u w:val="single"/>
          <w:lang w:val="zh-CN"/>
        </w:rPr>
        <w:t>）》</w:t>
      </w:r>
      <w:r>
        <w:rPr>
          <w:rFonts w:hint="eastAsia" w:ascii="宋体"/>
          <w:kern w:val="0"/>
          <w:sz w:val="24"/>
          <w:szCs w:val="22"/>
          <w:u w:val="single"/>
        </w:rPr>
        <w:t>及相关配套文件和资料</w:t>
      </w:r>
      <w:r>
        <w:rPr>
          <w:rFonts w:hint="eastAsia" w:ascii="宋体" w:hAnsi="宋体" w:eastAsia="宋体"/>
          <w:kern w:val="0"/>
          <w:sz w:val="24"/>
          <w:u w:val="single"/>
        </w:rPr>
        <w:t>为依据，材料价格采用</w:t>
      </w:r>
      <w:r>
        <w:rPr>
          <w:rFonts w:ascii="宋体" w:hAnsi="宋体" w:eastAsia="宋体"/>
          <w:kern w:val="0"/>
          <w:sz w:val="24"/>
          <w:u w:val="single"/>
          <w:lang w:val="zh-CN"/>
        </w:rPr>
        <w:t>20</w:t>
      </w:r>
      <w:r>
        <w:rPr>
          <w:rFonts w:ascii="宋体" w:hAnsi="宋体" w:eastAsia="宋体"/>
          <w:kern w:val="0"/>
          <w:sz w:val="24"/>
          <w:u w:val="single"/>
        </w:rPr>
        <w:t>23</w:t>
      </w:r>
      <w:r>
        <w:rPr>
          <w:rFonts w:hint="eastAsia" w:ascii="宋体" w:hAnsi="宋体" w:eastAsia="宋体"/>
          <w:kern w:val="0"/>
          <w:sz w:val="24"/>
          <w:u w:val="single"/>
          <w:lang w:val="zh-CN"/>
        </w:rPr>
        <w:t>年</w:t>
      </w:r>
      <w:r>
        <w:rPr>
          <w:rFonts w:hint="eastAsia" w:ascii="宋体" w:hAnsi="宋体" w:eastAsia="宋体"/>
          <w:kern w:val="0"/>
          <w:sz w:val="24"/>
          <w:u w:val="single"/>
        </w:rPr>
        <w:t>第三季度</w:t>
      </w:r>
      <w:r>
        <w:rPr>
          <w:rFonts w:hint="eastAsia" w:ascii="宋体" w:hAnsi="宋体" w:eastAsia="宋体"/>
          <w:kern w:val="0"/>
          <w:sz w:val="24"/>
          <w:u w:val="single"/>
          <w:lang w:val="zh-CN"/>
        </w:rPr>
        <w:t>信息价《佛山工程造价信息》的材料指导价，主材设备采用</w:t>
      </w:r>
      <w:r>
        <w:rPr>
          <w:rFonts w:hint="eastAsia" w:ascii="宋体" w:hAnsi="宋体" w:eastAsia="宋体"/>
          <w:kern w:val="0"/>
          <w:sz w:val="24"/>
          <w:u w:val="single"/>
        </w:rPr>
        <w:t>厂家报价及《广东省市政工程综合定额（</w:t>
      </w:r>
      <w:r>
        <w:rPr>
          <w:rFonts w:ascii="宋体" w:hAnsi="宋体" w:eastAsia="宋体"/>
          <w:kern w:val="0"/>
          <w:sz w:val="24"/>
          <w:u w:val="single"/>
        </w:rPr>
        <w:t>2018）》</w:t>
      </w:r>
      <w:r>
        <w:rPr>
          <w:rFonts w:hint="eastAsia" w:ascii="宋体" w:hAnsi="宋体" w:eastAsia="宋体"/>
          <w:kern w:val="0"/>
          <w:sz w:val="24"/>
          <w:u w:val="single"/>
        </w:rPr>
        <w:t>，并乘以“成交价与磋商控制价的比值”作为结算的综合单价。佛山市材料参考价格中没有适用的材料，按当地市场价计算，管理费按二类地区计算。若广东省相关工程计价办法及相应工程综合定额（</w:t>
      </w:r>
      <w:r>
        <w:rPr>
          <w:rFonts w:ascii="宋体" w:hAnsi="宋体" w:eastAsia="宋体"/>
          <w:kern w:val="0"/>
          <w:sz w:val="24"/>
          <w:u w:val="single"/>
        </w:rPr>
        <w:t>2018年）中没有适合的项目，则以相关财政部门审定的单价作为最终结算综合单价。清单缺项漏项的价款调整参照本条款执行。</w:t>
      </w:r>
    </w:p>
    <w:p>
      <w:pPr>
        <w:pStyle w:val="28"/>
        <w:widowControl/>
        <w:spacing w:line="440" w:lineRule="exact"/>
        <w:ind w:left="540" w:hanging="360"/>
        <w:rPr>
          <w:rFonts w:ascii="宋体" w:hAnsi="宋体" w:eastAsia="宋体"/>
          <w:kern w:val="0"/>
          <w:sz w:val="24"/>
          <w:u w:val="single"/>
        </w:rPr>
      </w:pPr>
      <w:r>
        <w:rPr>
          <w:rFonts w:ascii="宋体" w:hAnsi="宋体" w:eastAsia="宋体"/>
          <w:kern w:val="0"/>
          <w:sz w:val="24"/>
          <w:u w:val="single"/>
        </w:rPr>
        <w:t>4）如响应文件工程量清单报价书中有关费用的计算方法不符合国家、省、市的有关规定和标准，或</w:t>
      </w:r>
      <w:r>
        <w:rPr>
          <w:rFonts w:hint="eastAsia" w:ascii="宋体" w:hAnsi="宋体" w:eastAsia="宋体"/>
          <w:kern w:val="0"/>
          <w:sz w:val="24"/>
          <w:u w:val="single"/>
        </w:rPr>
        <w:t>响应</w:t>
      </w:r>
      <w:r>
        <w:rPr>
          <w:rFonts w:ascii="宋体" w:hAnsi="宋体" w:eastAsia="宋体"/>
          <w:kern w:val="0"/>
          <w:sz w:val="24"/>
          <w:u w:val="single"/>
        </w:rPr>
        <w:t>单价明显不合理，或工程量清单报价书中出现计算错误，致使清单项目价格与总报价不符的，均视为合同中没有适用的工程项目的情况。</w:t>
      </w:r>
    </w:p>
    <w:p>
      <w:pPr>
        <w:pStyle w:val="28"/>
        <w:widowControl/>
        <w:spacing w:line="440" w:lineRule="exact"/>
        <w:ind w:left="540" w:hanging="360"/>
        <w:rPr>
          <w:rFonts w:ascii="宋体" w:hAnsi="宋体" w:eastAsia="宋体"/>
          <w:kern w:val="0"/>
          <w:sz w:val="24"/>
          <w:u w:val="single"/>
        </w:rPr>
      </w:pPr>
      <w:r>
        <w:rPr>
          <w:rFonts w:ascii="宋体" w:hAnsi="宋体" w:eastAsia="宋体"/>
          <w:kern w:val="0"/>
          <w:sz w:val="24"/>
          <w:u w:val="single"/>
        </w:rPr>
        <w:t>5）变更工程，措施项目费实际调整。</w:t>
      </w:r>
    </w:p>
    <w:p>
      <w:pPr>
        <w:pStyle w:val="28"/>
        <w:widowControl/>
        <w:spacing w:line="440" w:lineRule="exact"/>
        <w:ind w:left="540" w:hanging="360"/>
        <w:rPr>
          <w:rFonts w:ascii="宋体" w:hAnsi="宋体" w:eastAsia="宋体"/>
          <w:kern w:val="0"/>
          <w:sz w:val="24"/>
          <w:u w:val="single"/>
        </w:rPr>
      </w:pPr>
      <w:r>
        <w:rPr>
          <w:rFonts w:ascii="宋体" w:hAnsi="宋体" w:eastAsia="宋体"/>
          <w:kern w:val="0"/>
          <w:sz w:val="24"/>
          <w:u w:val="single"/>
        </w:rPr>
        <w:t>6）工程变更，导致规费、税金按相关规定调整。</w:t>
      </w:r>
    </w:p>
    <w:p>
      <w:pPr>
        <w:pStyle w:val="28"/>
        <w:widowControl/>
        <w:spacing w:line="440" w:lineRule="exact"/>
        <w:ind w:left="540" w:hanging="360"/>
        <w:rPr>
          <w:rFonts w:ascii="宋体" w:hAnsi="宋体" w:eastAsia="宋体"/>
          <w:sz w:val="24"/>
          <w:u w:val="single"/>
        </w:rPr>
      </w:pPr>
      <w:r>
        <w:rPr>
          <w:rFonts w:ascii="宋体" w:hAnsi="宋体" w:eastAsia="宋体"/>
          <w:kern w:val="0"/>
          <w:sz w:val="24"/>
          <w:u w:val="single"/>
        </w:rPr>
        <w:t>7）工程变更按政府相关工程变更管理办法办理相关手续，作为结算与验收的依据。工程变更增加的款项在办理完变更程序并经审定后与进度款同期支付，支付的额度比例为审定金额的70%，余下款项在工程竣工验收合格并经结算审定后再行支付。</w:t>
      </w:r>
    </w:p>
    <w:p>
      <w:pPr>
        <w:pStyle w:val="28"/>
        <w:widowControl/>
        <w:spacing w:line="440" w:lineRule="exact"/>
        <w:ind w:left="540" w:hanging="360"/>
        <w:rPr>
          <w:rFonts w:ascii="宋体" w:hAnsi="宋体" w:eastAsia="宋体"/>
          <w:sz w:val="24"/>
          <w:u w:val="single"/>
        </w:rPr>
      </w:pPr>
      <w:r>
        <w:rPr>
          <w:rFonts w:ascii="宋体" w:hAnsi="宋体" w:eastAsia="宋体"/>
          <w:kern w:val="0"/>
          <w:sz w:val="24"/>
          <w:u w:val="single"/>
        </w:rPr>
        <w:t>8）工程量清单中出现的清单缺项、漏项的、工程量偏差的，按变更工程处理。</w:t>
      </w:r>
    </w:p>
    <w:p>
      <w:pPr>
        <w:pStyle w:val="28"/>
        <w:spacing w:line="440" w:lineRule="exact"/>
        <w:ind w:firstLine="480" w:firstLineChars="200"/>
        <w:rPr>
          <w:rFonts w:ascii="宋体" w:hAnsi="宋体" w:eastAsia="宋体"/>
          <w:sz w:val="24"/>
        </w:rPr>
      </w:pPr>
      <w:r>
        <w:rPr>
          <w:rFonts w:ascii="宋体" w:hAnsi="宋体" w:eastAsia="宋体"/>
          <w:sz w:val="24"/>
        </w:rPr>
        <w:t>10.5承包人的合理化建议</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监理人审查承包人合理化建议的期限：</w:t>
      </w:r>
      <w:r>
        <w:rPr>
          <w:rFonts w:hint="eastAsia" w:ascii="宋体" w:hAnsi="宋体" w:eastAsia="宋体"/>
          <w:sz w:val="24"/>
          <w:u w:val="single"/>
        </w:rPr>
        <w:t>按通用条款规定执行</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发包人审批承包人合理化建议的期限：</w:t>
      </w:r>
      <w:r>
        <w:rPr>
          <w:rFonts w:hint="eastAsia" w:ascii="宋体" w:hAnsi="宋体" w:eastAsia="宋体"/>
          <w:sz w:val="24"/>
          <w:u w:val="single"/>
        </w:rPr>
        <w:t>按通用条款规定执行</w:t>
      </w:r>
      <w:r>
        <w:rPr>
          <w:rFonts w:hint="eastAsia" w:ascii="宋体" w:hAnsi="宋体" w:eastAsia="宋体"/>
          <w:sz w:val="24"/>
        </w:rPr>
        <w:t>。</w:t>
      </w:r>
    </w:p>
    <w:p>
      <w:pPr>
        <w:pStyle w:val="28"/>
        <w:spacing w:line="440" w:lineRule="exact"/>
        <w:ind w:firstLine="480" w:firstLineChars="200"/>
        <w:jc w:val="left"/>
        <w:rPr>
          <w:rFonts w:ascii="宋体" w:hAnsi="宋体" w:eastAsia="宋体"/>
          <w:sz w:val="24"/>
          <w:u w:val="single"/>
        </w:rPr>
      </w:pPr>
      <w:r>
        <w:rPr>
          <w:rFonts w:hint="eastAsia" w:ascii="宋体" w:hAnsi="宋体" w:eastAsia="宋体"/>
          <w:sz w:val="24"/>
        </w:rPr>
        <w:t>承包人提出的合理化建议降低了合同价格或者提高了工程经济效益的奖励的方法和金额为：</w:t>
      </w:r>
      <w:r>
        <w:rPr>
          <w:rFonts w:hint="eastAsia" w:ascii="宋体" w:hAnsi="宋体" w:eastAsia="宋体"/>
          <w:sz w:val="24"/>
          <w:u w:val="single"/>
        </w:rPr>
        <w:t>不设奖励</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10.7 </w:t>
      </w:r>
      <w:r>
        <w:rPr>
          <w:rFonts w:hint="eastAsia" w:ascii="宋体" w:hAnsi="宋体" w:eastAsia="宋体"/>
          <w:sz w:val="24"/>
        </w:rPr>
        <w:t>暂估价</w:t>
      </w:r>
    </w:p>
    <w:p>
      <w:pPr>
        <w:pStyle w:val="28"/>
        <w:spacing w:line="440" w:lineRule="exact"/>
        <w:ind w:firstLine="480" w:firstLineChars="200"/>
        <w:jc w:val="left"/>
        <w:rPr>
          <w:rFonts w:ascii="宋体" w:hAnsi="宋体" w:eastAsia="宋体"/>
          <w:sz w:val="24"/>
        </w:rPr>
      </w:pPr>
      <w:r>
        <w:rPr>
          <w:rFonts w:hint="eastAsia" w:ascii="宋体" w:hAnsi="宋体" w:eastAsia="宋体"/>
          <w:kern w:val="0"/>
          <w:sz w:val="24"/>
        </w:rPr>
        <w:t>暂估价材料和工程设备的明细详见附件</w:t>
      </w:r>
      <w:r>
        <w:rPr>
          <w:rFonts w:ascii="宋体" w:hAnsi="宋体" w:eastAsia="宋体"/>
          <w:kern w:val="0"/>
          <w:sz w:val="24"/>
        </w:rPr>
        <w:t>11：《</w:t>
      </w:r>
      <w:r>
        <w:rPr>
          <w:rFonts w:hint="eastAsia" w:ascii="宋体" w:hAnsi="宋体" w:eastAsia="宋体"/>
          <w:sz w:val="24"/>
        </w:rPr>
        <w:t>暂估价一览表》</w:t>
      </w:r>
      <w:r>
        <w:rPr>
          <w:rFonts w:hint="eastAsia" w:ascii="宋体" w:hAnsi="宋体" w:eastAsia="宋体"/>
          <w:kern w:val="0"/>
          <w:sz w:val="24"/>
        </w:rPr>
        <w:t>。</w:t>
      </w:r>
    </w:p>
    <w:p>
      <w:pPr>
        <w:pStyle w:val="28"/>
        <w:spacing w:line="400" w:lineRule="exact"/>
        <w:ind w:firstLine="480" w:firstLineChars="200"/>
        <w:jc w:val="left"/>
        <w:rPr>
          <w:rFonts w:ascii="宋体" w:hAnsi="宋体" w:eastAsia="宋体"/>
          <w:sz w:val="24"/>
        </w:rPr>
      </w:pPr>
      <w:r>
        <w:rPr>
          <w:rFonts w:ascii="宋体" w:hAnsi="宋体" w:eastAsia="宋体"/>
          <w:sz w:val="24"/>
        </w:rPr>
        <w:t xml:space="preserve">10.7.1 </w:t>
      </w:r>
      <w:r>
        <w:rPr>
          <w:rFonts w:hint="eastAsia" w:ascii="宋体" w:hAnsi="宋体" w:eastAsia="宋体"/>
          <w:sz w:val="24"/>
        </w:rPr>
        <w:t>依法必须采购的暂估价项目</w:t>
      </w:r>
    </w:p>
    <w:p>
      <w:pPr>
        <w:pStyle w:val="28"/>
        <w:spacing w:line="400" w:lineRule="exact"/>
        <w:ind w:firstLine="480" w:firstLineChars="200"/>
        <w:jc w:val="left"/>
        <w:rPr>
          <w:rFonts w:ascii="宋体" w:hAnsi="宋体" w:eastAsia="宋体"/>
          <w:sz w:val="24"/>
        </w:rPr>
      </w:pPr>
      <w:r>
        <w:rPr>
          <w:rFonts w:hint="eastAsia" w:ascii="宋体" w:hAnsi="宋体" w:eastAsia="宋体"/>
          <w:sz w:val="24"/>
        </w:rPr>
        <w:t>对于依法必须采购的暂估价项目的确认和批准采取第</w:t>
      </w:r>
      <w:r>
        <w:rPr>
          <w:rFonts w:ascii="宋体" w:hAnsi="宋体" w:eastAsia="宋体"/>
          <w:sz w:val="24"/>
          <w:u w:val="single"/>
        </w:rPr>
        <w:t>1</w:t>
      </w:r>
      <w:r>
        <w:rPr>
          <w:rFonts w:hint="eastAsia" w:ascii="宋体" w:hAnsi="宋体" w:eastAsia="宋体"/>
          <w:sz w:val="24"/>
        </w:rPr>
        <w:t>种方式确定。</w:t>
      </w:r>
    </w:p>
    <w:p>
      <w:pPr>
        <w:pStyle w:val="28"/>
        <w:spacing w:line="400" w:lineRule="exact"/>
        <w:ind w:firstLine="480" w:firstLineChars="200"/>
        <w:rPr>
          <w:rFonts w:ascii="宋体" w:hAnsi="宋体" w:eastAsia="宋体"/>
          <w:sz w:val="24"/>
        </w:rPr>
      </w:pPr>
      <w:r>
        <w:rPr>
          <w:rFonts w:hint="eastAsia" w:ascii="宋体" w:hAnsi="宋体" w:eastAsia="宋体"/>
          <w:sz w:val="24"/>
        </w:rPr>
        <w:t>第</w:t>
      </w:r>
      <w:r>
        <w:rPr>
          <w:rFonts w:ascii="宋体" w:hAnsi="宋体" w:eastAsia="宋体"/>
          <w:sz w:val="24"/>
        </w:rPr>
        <w:t>1种方式：暂估价项目须按发包人及监理单位确认的施工图实施。暂估价项目的工程款支付方式为：发包人同意实施暂估价项目后，按照合同条款“12.4工程进度款支付”方式进行支付。</w:t>
      </w:r>
    </w:p>
    <w:p>
      <w:pPr>
        <w:pStyle w:val="28"/>
        <w:spacing w:line="400" w:lineRule="exact"/>
        <w:ind w:firstLine="480" w:firstLineChars="200"/>
        <w:jc w:val="left"/>
        <w:rPr>
          <w:rFonts w:ascii="宋体" w:hAnsi="宋体" w:eastAsia="宋体"/>
          <w:sz w:val="24"/>
        </w:rPr>
      </w:pPr>
      <w:r>
        <w:rPr>
          <w:rFonts w:ascii="宋体" w:hAnsi="宋体" w:eastAsia="宋体"/>
          <w:sz w:val="24"/>
        </w:rPr>
        <w:t xml:space="preserve">10.7.2 </w:t>
      </w:r>
      <w:r>
        <w:rPr>
          <w:rFonts w:hint="eastAsia" w:ascii="宋体" w:hAnsi="宋体" w:eastAsia="宋体"/>
          <w:sz w:val="24"/>
        </w:rPr>
        <w:t>不属于依法必须采购的暂估价项目</w:t>
      </w:r>
    </w:p>
    <w:p>
      <w:pPr>
        <w:pStyle w:val="28"/>
        <w:spacing w:line="400" w:lineRule="exact"/>
        <w:ind w:firstLine="480" w:firstLineChars="200"/>
        <w:jc w:val="left"/>
        <w:rPr>
          <w:rFonts w:ascii="宋体" w:hAnsi="宋体" w:eastAsia="宋体"/>
          <w:sz w:val="24"/>
        </w:rPr>
      </w:pPr>
      <w:r>
        <w:rPr>
          <w:rFonts w:hint="eastAsia" w:ascii="宋体" w:hAnsi="宋体" w:eastAsia="宋体"/>
          <w:sz w:val="24"/>
        </w:rPr>
        <w:t>对于不属于依法必须采购的暂估价项目的确认和批准采取第</w:t>
      </w:r>
      <w:r>
        <w:rPr>
          <w:rFonts w:ascii="宋体" w:hAnsi="宋体" w:eastAsia="宋体"/>
          <w:sz w:val="24"/>
          <w:u w:val="single"/>
        </w:rPr>
        <w:t>1</w:t>
      </w:r>
      <w:r>
        <w:rPr>
          <w:rFonts w:ascii="宋体" w:hAnsi="宋体" w:eastAsia="宋体"/>
          <w:sz w:val="24"/>
        </w:rPr>
        <w:t xml:space="preserve"> 种方式确定。</w:t>
      </w:r>
    </w:p>
    <w:p>
      <w:pPr>
        <w:pStyle w:val="28"/>
        <w:spacing w:line="400" w:lineRule="exact"/>
        <w:ind w:firstLine="480" w:firstLineChars="200"/>
        <w:jc w:val="left"/>
        <w:rPr>
          <w:rFonts w:ascii="宋体" w:hAnsi="宋体" w:eastAsia="宋体"/>
          <w:sz w:val="24"/>
        </w:rPr>
      </w:pPr>
      <w:r>
        <w:rPr>
          <w:rFonts w:hint="eastAsia" w:ascii="宋体" w:hAnsi="宋体" w:eastAsia="宋体"/>
          <w:sz w:val="24"/>
        </w:rPr>
        <w:t>第</w:t>
      </w:r>
      <w:r>
        <w:rPr>
          <w:rFonts w:ascii="宋体" w:hAnsi="宋体" w:eastAsia="宋体"/>
          <w:sz w:val="24"/>
        </w:rPr>
        <w:t>1种方式：对于不属于依法必须</w:t>
      </w:r>
      <w:r>
        <w:rPr>
          <w:rFonts w:hint="eastAsia" w:ascii="宋体" w:hAnsi="宋体" w:eastAsia="宋体"/>
          <w:sz w:val="24"/>
        </w:rPr>
        <w:t>采购</w:t>
      </w:r>
      <w:r>
        <w:rPr>
          <w:rFonts w:ascii="宋体" w:hAnsi="宋体" w:eastAsia="宋体"/>
          <w:sz w:val="24"/>
        </w:rPr>
        <w:t>的暂估价项目，按本项约定确认和批准：</w:t>
      </w:r>
    </w:p>
    <w:p>
      <w:pPr>
        <w:pStyle w:val="28"/>
        <w:spacing w:line="400" w:lineRule="exact"/>
        <w:ind w:firstLine="480" w:firstLineChars="200"/>
        <w:jc w:val="left"/>
        <w:rPr>
          <w:rFonts w:ascii="宋体" w:hAnsi="宋体" w:eastAsia="宋体"/>
          <w:sz w:val="24"/>
        </w:rPr>
      </w:pPr>
      <w:r>
        <w:rPr>
          <w:rFonts w:ascii="宋体" w:hAnsi="宋体" w:eastAsia="宋体"/>
          <w:sz w:val="24"/>
        </w:rPr>
        <w:t>1.承包人应根据施工进度计划，在签订暂估价项目的采购合同前28天向监理人提出书面申请。监理人应当在收到申请并加具审核意见后5天内报送发包人，发包人应当在收到申请后14天内给予批准或提出修改意见，发包人逾期未予批准或提出修改意见的，视为该书面申请已获得同意。</w:t>
      </w:r>
    </w:p>
    <w:p>
      <w:pPr>
        <w:pStyle w:val="28"/>
        <w:spacing w:line="400" w:lineRule="exact"/>
        <w:ind w:firstLine="480" w:firstLineChars="200"/>
        <w:jc w:val="left"/>
        <w:rPr>
          <w:rFonts w:ascii="宋体" w:hAnsi="宋体" w:eastAsia="宋体"/>
          <w:sz w:val="24"/>
        </w:rPr>
      </w:pPr>
      <w:r>
        <w:rPr>
          <w:rFonts w:ascii="宋体" w:hAnsi="宋体" w:eastAsia="宋体"/>
          <w:sz w:val="24"/>
        </w:rPr>
        <w:t xml:space="preserve">2.发包人认为承包人确定的供应商无法满足工程质量或合同要求的，发包人可以要求承包人重新确定暂估价项目的供应商。      </w:t>
      </w:r>
    </w:p>
    <w:p>
      <w:pPr>
        <w:pStyle w:val="28"/>
        <w:spacing w:line="400" w:lineRule="exact"/>
        <w:ind w:firstLine="480" w:firstLineChars="200"/>
        <w:jc w:val="left"/>
        <w:rPr>
          <w:rFonts w:ascii="宋体" w:hAnsi="宋体" w:eastAsia="宋体"/>
          <w:sz w:val="24"/>
        </w:rPr>
      </w:pPr>
      <w:r>
        <w:rPr>
          <w:rFonts w:ascii="宋体" w:hAnsi="宋体" w:eastAsia="宋体"/>
          <w:sz w:val="24"/>
        </w:rPr>
        <w:t>3.承包人应当在签订暂估价合同后7天内，将暂估价合同副本报送发包人留存。</w:t>
      </w:r>
    </w:p>
    <w:p>
      <w:pPr>
        <w:pStyle w:val="28"/>
        <w:widowControl/>
        <w:spacing w:line="400" w:lineRule="atLeast"/>
        <w:ind w:firstLine="480"/>
        <w:jc w:val="left"/>
        <w:rPr>
          <w:rFonts w:ascii="宋体" w:hAnsi="宋体" w:eastAsia="宋体"/>
          <w:sz w:val="24"/>
        </w:rPr>
      </w:pPr>
      <w:r>
        <w:rPr>
          <w:rFonts w:hint="eastAsia" w:ascii="宋体" w:hAnsi="宋体" w:eastAsia="宋体"/>
          <w:sz w:val="24"/>
        </w:rPr>
        <w:t>第</w:t>
      </w:r>
      <w:r>
        <w:rPr>
          <w:rFonts w:ascii="宋体" w:hAnsi="宋体" w:eastAsia="宋体"/>
          <w:sz w:val="24"/>
        </w:rPr>
        <w:t>3种方式：承包人直接实施的暂估价项目。</w:t>
      </w:r>
    </w:p>
    <w:p>
      <w:pPr>
        <w:pStyle w:val="28"/>
        <w:spacing w:line="440" w:lineRule="exact"/>
        <w:ind w:firstLine="480" w:firstLineChars="200"/>
        <w:rPr>
          <w:rFonts w:ascii="宋体" w:hAnsi="宋体" w:eastAsia="宋体"/>
          <w:sz w:val="24"/>
        </w:rPr>
      </w:pPr>
      <w:r>
        <w:rPr>
          <w:rFonts w:ascii="宋体" w:hAnsi="宋体" w:eastAsia="宋体"/>
          <w:sz w:val="24"/>
        </w:rPr>
        <w:t xml:space="preserve">10.8 </w:t>
      </w:r>
      <w:r>
        <w:rPr>
          <w:rFonts w:hint="eastAsia" w:ascii="宋体" w:hAnsi="宋体" w:eastAsia="宋体"/>
          <w:sz w:val="24"/>
        </w:rPr>
        <w:t>暂列金额</w:t>
      </w:r>
    </w:p>
    <w:p>
      <w:pPr>
        <w:pStyle w:val="28"/>
        <w:autoSpaceDE w:val="0"/>
        <w:autoSpaceDN w:val="0"/>
        <w:spacing w:line="440" w:lineRule="exact"/>
        <w:jc w:val="left"/>
        <w:rPr>
          <w:rFonts w:ascii="宋体" w:hAnsi="宋体" w:eastAsia="宋体"/>
          <w:kern w:val="0"/>
          <w:sz w:val="24"/>
        </w:rPr>
      </w:pPr>
      <w:r>
        <w:rPr>
          <w:rFonts w:hint="eastAsia" w:ascii="宋体" w:hAnsi="宋体" w:eastAsia="宋体"/>
          <w:kern w:val="0"/>
          <w:sz w:val="24"/>
        </w:rPr>
        <w:t>合同当事人关于暂列金额使用的约定：</w:t>
      </w:r>
      <w:r>
        <w:rPr>
          <w:rFonts w:hint="eastAsia" w:ascii="宋体" w:hAnsi="宋体" w:eastAsia="宋体"/>
          <w:sz w:val="24"/>
          <w:u w:val="single"/>
        </w:rPr>
        <w:t>本项目不设暂列金额</w:t>
      </w:r>
      <w:r>
        <w:rPr>
          <w:rFonts w:hint="eastAsia" w:ascii="宋体" w:hAnsi="宋体" w:eastAsia="宋体"/>
          <w:kern w:val="0"/>
          <w:sz w:val="24"/>
        </w:rPr>
        <w:t>。</w:t>
      </w:r>
    </w:p>
    <w:p>
      <w:pPr>
        <w:pStyle w:val="28"/>
        <w:spacing w:line="440" w:lineRule="exact"/>
        <w:jc w:val="left"/>
        <w:outlineLvl w:val="1"/>
        <w:rPr>
          <w:rFonts w:ascii="宋体" w:hAnsi="宋体" w:eastAsia="宋体"/>
          <w:b/>
          <w:bCs/>
          <w:sz w:val="24"/>
        </w:rPr>
      </w:pPr>
      <w:bookmarkStart w:id="251" w:name="_Toc24817"/>
      <w:r>
        <w:rPr>
          <w:rFonts w:ascii="宋体" w:hAnsi="宋体" w:eastAsia="宋体"/>
          <w:b/>
          <w:bCs/>
          <w:sz w:val="24"/>
        </w:rPr>
        <w:t xml:space="preserve">11. </w:t>
      </w:r>
      <w:r>
        <w:rPr>
          <w:rFonts w:hint="eastAsia" w:ascii="宋体" w:hAnsi="宋体" w:eastAsia="宋体"/>
          <w:b/>
          <w:bCs/>
          <w:sz w:val="24"/>
        </w:rPr>
        <w:t>价格调整</w:t>
      </w:r>
      <w:bookmarkEnd w:id="251"/>
    </w:p>
    <w:p>
      <w:pPr>
        <w:pStyle w:val="28"/>
        <w:spacing w:line="440" w:lineRule="exact"/>
        <w:ind w:firstLine="480" w:firstLineChars="200"/>
        <w:rPr>
          <w:rFonts w:ascii="宋体" w:hAnsi="宋体" w:eastAsia="宋体"/>
          <w:sz w:val="24"/>
        </w:rPr>
      </w:pPr>
      <w:r>
        <w:rPr>
          <w:rFonts w:ascii="宋体" w:hAnsi="宋体" w:eastAsia="宋体"/>
          <w:sz w:val="24"/>
        </w:rPr>
        <w:t xml:space="preserve">11.1 </w:t>
      </w:r>
      <w:r>
        <w:rPr>
          <w:rFonts w:hint="eastAsia" w:ascii="宋体" w:hAnsi="宋体" w:eastAsia="宋体"/>
          <w:sz w:val="24"/>
        </w:rPr>
        <w:t>市场价格波动引起的调整</w:t>
      </w:r>
    </w:p>
    <w:p>
      <w:pPr>
        <w:pStyle w:val="28"/>
        <w:spacing w:line="400" w:lineRule="exact"/>
        <w:ind w:firstLine="480" w:firstLineChars="200"/>
        <w:jc w:val="left"/>
        <w:rPr>
          <w:rFonts w:ascii="宋体" w:hAnsi="宋体" w:eastAsia="宋体"/>
          <w:sz w:val="24"/>
        </w:rPr>
      </w:pPr>
      <w:r>
        <w:rPr>
          <w:rFonts w:hint="eastAsia" w:ascii="宋体" w:hAnsi="宋体" w:eastAsia="宋体"/>
          <w:kern w:val="0"/>
          <w:sz w:val="24"/>
        </w:rPr>
        <w:t>市场价格波动是否调整合同价格的约定：</w:t>
      </w:r>
      <w:r>
        <w:rPr>
          <w:rFonts w:hint="eastAsia" w:ascii="宋体" w:hAnsi="宋体" w:eastAsia="宋体"/>
          <w:sz w:val="24"/>
          <w:u w:val="single"/>
        </w:rPr>
        <w:t>调整</w:t>
      </w:r>
      <w:r>
        <w:rPr>
          <w:rFonts w:hint="eastAsia" w:ascii="宋体" w:hAnsi="宋体" w:eastAsia="宋体"/>
          <w:sz w:val="24"/>
        </w:rPr>
        <w:t>。</w:t>
      </w:r>
    </w:p>
    <w:p>
      <w:pPr>
        <w:pStyle w:val="28"/>
        <w:spacing w:line="360" w:lineRule="auto"/>
        <w:ind w:firstLine="480" w:firstLineChars="200"/>
        <w:jc w:val="left"/>
        <w:rPr>
          <w:rFonts w:ascii="宋体" w:hAnsi="宋体" w:eastAsia="宋体"/>
          <w:sz w:val="24"/>
        </w:rPr>
      </w:pPr>
      <w:r>
        <w:rPr>
          <w:rFonts w:hint="eastAsia" w:ascii="宋体" w:hAnsi="宋体" w:eastAsia="宋体"/>
          <w:kern w:val="0"/>
          <w:sz w:val="24"/>
        </w:rPr>
        <w:t>市场价格波动是否调整合同价格的约定：</w:t>
      </w:r>
      <w:r>
        <w:rPr>
          <w:rFonts w:hint="eastAsia" w:ascii="宋体" w:hAnsi="宋体" w:eastAsia="宋体"/>
          <w:sz w:val="24"/>
          <w:u w:val="single"/>
        </w:rPr>
        <w:t>主要材料（钢筋、钢材、混凝土、水泥、砂、碎石、砖、沥青、电缆）调整，其它材料不调整</w:t>
      </w:r>
      <w:r>
        <w:rPr>
          <w:rFonts w:hint="eastAsia" w:ascii="宋体" w:hAnsi="宋体" w:eastAsia="宋体"/>
          <w:sz w:val="24"/>
        </w:rPr>
        <w:t>。</w:t>
      </w:r>
    </w:p>
    <w:p>
      <w:pPr>
        <w:pStyle w:val="28"/>
        <w:spacing w:line="400" w:lineRule="exact"/>
        <w:ind w:firstLine="480" w:firstLineChars="200"/>
        <w:jc w:val="left"/>
        <w:rPr>
          <w:rFonts w:ascii="宋体" w:hAnsi="宋体" w:eastAsia="宋体"/>
          <w:sz w:val="24"/>
        </w:rPr>
      </w:pPr>
      <w:r>
        <w:rPr>
          <w:rFonts w:hint="eastAsia" w:ascii="宋体" w:hAnsi="宋体" w:eastAsia="宋体"/>
          <w:sz w:val="24"/>
        </w:rPr>
        <w:t>因市场价格波动调整合同价格，采用以下第</w:t>
      </w:r>
      <w:r>
        <w:rPr>
          <w:rFonts w:ascii="宋体" w:hAnsi="宋体" w:eastAsia="宋体"/>
          <w:sz w:val="24"/>
          <w:u w:val="single"/>
        </w:rPr>
        <w:t>3</w:t>
      </w:r>
      <w:r>
        <w:rPr>
          <w:rFonts w:hint="eastAsia" w:ascii="宋体" w:hAnsi="宋体" w:eastAsia="宋体"/>
          <w:sz w:val="24"/>
        </w:rPr>
        <w:t>种方式对合同价格进行调整：</w:t>
      </w:r>
    </w:p>
    <w:p>
      <w:pPr>
        <w:pStyle w:val="28"/>
        <w:spacing w:line="400" w:lineRule="exact"/>
        <w:ind w:firstLine="480" w:firstLineChars="200"/>
        <w:jc w:val="left"/>
        <w:rPr>
          <w:rFonts w:ascii="宋体" w:hAnsi="宋体" w:eastAsia="宋体"/>
          <w:sz w:val="24"/>
        </w:rPr>
      </w:pPr>
      <w:r>
        <w:rPr>
          <w:rFonts w:hint="eastAsia" w:ascii="宋体" w:hAnsi="宋体" w:eastAsia="宋体"/>
          <w:sz w:val="24"/>
        </w:rPr>
        <w:t>第</w:t>
      </w:r>
      <w:r>
        <w:rPr>
          <w:rFonts w:ascii="宋体" w:hAnsi="宋体" w:eastAsia="宋体"/>
          <w:sz w:val="24"/>
        </w:rPr>
        <w:t>1种方式：采用价格指数进行价格调整。</w:t>
      </w:r>
    </w:p>
    <w:p>
      <w:pPr>
        <w:pStyle w:val="28"/>
        <w:spacing w:line="400" w:lineRule="exact"/>
        <w:ind w:firstLine="480" w:firstLineChars="200"/>
        <w:jc w:val="left"/>
        <w:rPr>
          <w:rFonts w:ascii="宋体" w:hAnsi="宋体" w:eastAsia="宋体"/>
          <w:sz w:val="24"/>
          <w:u w:val="single"/>
        </w:rPr>
      </w:pPr>
      <w:r>
        <w:rPr>
          <w:rFonts w:hint="eastAsia" w:ascii="宋体" w:hAnsi="宋体" w:eastAsia="宋体"/>
          <w:sz w:val="24"/>
        </w:rPr>
        <w:t>关于各可调因子、定值和变值权重，以及基本价格指数及其来源的约定：</w:t>
      </w:r>
      <w:r>
        <w:rPr>
          <w:rFonts w:ascii="宋体" w:hAnsi="宋体" w:eastAsia="宋体"/>
          <w:sz w:val="24"/>
          <w:u w:val="single"/>
        </w:rPr>
        <w:t xml:space="preserve"> / </w:t>
      </w:r>
      <w:r>
        <w:rPr>
          <w:rFonts w:hint="eastAsia" w:ascii="宋体" w:hAnsi="宋体" w:eastAsia="宋体"/>
          <w:sz w:val="24"/>
        </w:rPr>
        <w:t>；</w:t>
      </w:r>
    </w:p>
    <w:p>
      <w:pPr>
        <w:pStyle w:val="28"/>
        <w:spacing w:line="400" w:lineRule="exact"/>
        <w:ind w:firstLine="480" w:firstLineChars="200"/>
        <w:jc w:val="left"/>
        <w:rPr>
          <w:rFonts w:ascii="宋体" w:hAnsi="宋体" w:eastAsia="宋体"/>
          <w:sz w:val="24"/>
        </w:rPr>
      </w:pPr>
      <w:r>
        <w:rPr>
          <w:rFonts w:hint="eastAsia" w:ascii="宋体" w:hAnsi="宋体" w:eastAsia="宋体"/>
          <w:sz w:val="24"/>
        </w:rPr>
        <w:t>第</w:t>
      </w:r>
      <w:r>
        <w:rPr>
          <w:rFonts w:ascii="宋体" w:hAnsi="宋体" w:eastAsia="宋体"/>
          <w:sz w:val="24"/>
        </w:rPr>
        <w:t>2种方式：采用造价信息进行价格调整。</w:t>
      </w:r>
    </w:p>
    <w:p>
      <w:pPr>
        <w:pStyle w:val="28"/>
        <w:spacing w:line="360" w:lineRule="auto"/>
        <w:ind w:firstLine="480" w:firstLineChars="200"/>
        <w:jc w:val="left"/>
        <w:rPr>
          <w:rFonts w:ascii="宋体" w:hAnsi="宋体" w:eastAsia="宋体"/>
          <w:sz w:val="24"/>
        </w:rPr>
      </w:pPr>
      <w:r>
        <w:rPr>
          <w:rFonts w:hint="eastAsia" w:ascii="宋体" w:hAnsi="宋体" w:eastAsia="宋体"/>
          <w:sz w:val="24"/>
        </w:rPr>
        <w:t>（</w:t>
      </w:r>
      <w:r>
        <w:rPr>
          <w:rFonts w:ascii="宋体" w:hAnsi="宋体" w:eastAsia="宋体"/>
          <w:sz w:val="24"/>
        </w:rPr>
        <w:t>2）关于基准价格的约定：</w:t>
      </w:r>
      <w:r>
        <w:rPr>
          <w:rFonts w:ascii="宋体" w:hAnsi="宋体" w:eastAsia="宋体"/>
          <w:sz w:val="24"/>
          <w:u w:val="single"/>
        </w:rPr>
        <w:t xml:space="preserve">   /   </w:t>
      </w:r>
      <w:r>
        <w:rPr>
          <w:rFonts w:hint="eastAsia" w:ascii="宋体" w:hAnsi="宋体" w:eastAsia="宋体"/>
          <w:sz w:val="24"/>
        </w:rPr>
        <w:t>。</w:t>
      </w:r>
    </w:p>
    <w:p>
      <w:pPr>
        <w:pStyle w:val="28"/>
        <w:spacing w:line="360" w:lineRule="auto"/>
        <w:ind w:firstLine="480" w:firstLineChars="200"/>
        <w:jc w:val="left"/>
        <w:rPr>
          <w:rFonts w:ascii="宋体" w:hAnsi="宋体" w:eastAsia="宋体"/>
          <w:sz w:val="24"/>
        </w:rPr>
      </w:pPr>
      <w:r>
        <w:rPr>
          <w:rFonts w:hint="eastAsia" w:ascii="宋体" w:hAnsi="宋体" w:eastAsia="宋体"/>
          <w:sz w:val="24"/>
        </w:rPr>
        <w:t>专用合同条款①承包人在已标价工程量清单或预算书中载明的材料单价低于基准价格的：专用合同条款合同履行期间材料单价涨幅以基准价格为基础超过</w:t>
      </w:r>
      <w:r>
        <w:rPr>
          <w:rFonts w:ascii="宋体" w:hAnsi="宋体" w:eastAsia="宋体"/>
          <w:sz w:val="24"/>
          <w:u w:val="single"/>
        </w:rPr>
        <w:t xml:space="preserve">  /  </w:t>
      </w:r>
      <w:r>
        <w:rPr>
          <w:rFonts w:ascii="宋体" w:hAnsi="宋体" w:eastAsia="宋体"/>
          <w:sz w:val="24"/>
        </w:rPr>
        <w:t>%时，或材料单价跌幅以已标价工程量清单或预算书中载明材料单价为基础超过</w:t>
      </w:r>
      <w:r>
        <w:rPr>
          <w:rFonts w:ascii="宋体" w:hAnsi="宋体" w:eastAsia="宋体"/>
          <w:sz w:val="24"/>
          <w:u w:val="single"/>
        </w:rPr>
        <w:t xml:space="preserve">  /  </w:t>
      </w:r>
      <w:r>
        <w:rPr>
          <w:rFonts w:ascii="宋体" w:hAnsi="宋体" w:eastAsia="宋体"/>
          <w:sz w:val="24"/>
        </w:rPr>
        <w:t>%时，其超过部分据实调整。</w:t>
      </w:r>
    </w:p>
    <w:p>
      <w:pPr>
        <w:pStyle w:val="28"/>
        <w:spacing w:line="360" w:lineRule="auto"/>
        <w:ind w:firstLine="480" w:firstLineChars="200"/>
        <w:jc w:val="left"/>
        <w:rPr>
          <w:rFonts w:ascii="宋体" w:hAnsi="宋体" w:eastAsia="宋体"/>
          <w:sz w:val="24"/>
        </w:rPr>
      </w:pPr>
      <w:r>
        <w:rPr>
          <w:rFonts w:hint="eastAsia" w:ascii="宋体" w:hAnsi="宋体" w:eastAsia="宋体"/>
          <w:sz w:val="24"/>
        </w:rPr>
        <w:t>②承包人在已标价工程量清单或预算书中载明的材料单价高于基准价格的：专用合同条款合同履行期间材料单价跌幅以基准价格为基础超过</w:t>
      </w:r>
      <w:r>
        <w:rPr>
          <w:rFonts w:ascii="宋体" w:hAnsi="宋体" w:eastAsia="宋体"/>
          <w:sz w:val="24"/>
          <w:u w:val="single"/>
        </w:rPr>
        <w:t xml:space="preserve">  /  </w:t>
      </w:r>
      <w:r>
        <w:rPr>
          <w:rFonts w:ascii="宋体" w:hAnsi="宋体" w:eastAsia="宋体"/>
          <w:sz w:val="24"/>
        </w:rPr>
        <w:t>%时，材料单价涨幅以已标价工程量清单或预算书中载明材料单价为基础超过</w:t>
      </w:r>
      <w:r>
        <w:rPr>
          <w:rFonts w:ascii="宋体" w:hAnsi="宋体" w:eastAsia="宋体"/>
          <w:sz w:val="24"/>
          <w:u w:val="single"/>
        </w:rPr>
        <w:t xml:space="preserve">  /  </w:t>
      </w:r>
      <w:r>
        <w:rPr>
          <w:rFonts w:ascii="宋体" w:hAnsi="宋体" w:eastAsia="宋体"/>
          <w:sz w:val="24"/>
        </w:rPr>
        <w:t>%时，其超过部分据实调整。</w:t>
      </w:r>
    </w:p>
    <w:p>
      <w:pPr>
        <w:pStyle w:val="28"/>
        <w:spacing w:line="360" w:lineRule="auto"/>
        <w:ind w:firstLine="645"/>
        <w:jc w:val="left"/>
        <w:rPr>
          <w:rFonts w:ascii="宋体" w:hAnsi="宋体" w:eastAsia="宋体"/>
          <w:sz w:val="24"/>
        </w:rPr>
      </w:pPr>
      <w:r>
        <w:rPr>
          <w:rFonts w:hint="eastAsia" w:ascii="宋体" w:hAnsi="宋体" w:eastAsia="宋体"/>
          <w:sz w:val="24"/>
        </w:rPr>
        <w:t>③承包人在已标价工程量清单或预算书中载明的材料单价等于基准单价的：专用合同条款合同履行期间材料单价涨跌幅以基准单价为基础超过±</w:t>
      </w:r>
      <w:r>
        <w:rPr>
          <w:rFonts w:ascii="宋体" w:hAnsi="宋体" w:eastAsia="宋体"/>
          <w:sz w:val="24"/>
          <w:u w:val="single"/>
        </w:rPr>
        <w:t xml:space="preserve">  /  </w:t>
      </w:r>
      <w:r>
        <w:rPr>
          <w:rFonts w:ascii="宋体" w:hAnsi="宋体" w:eastAsia="宋体"/>
          <w:sz w:val="24"/>
        </w:rPr>
        <w:t>%时，其超过部分据实调整。</w:t>
      </w:r>
    </w:p>
    <w:p>
      <w:pPr>
        <w:pStyle w:val="28"/>
        <w:spacing w:line="466" w:lineRule="exact"/>
        <w:ind w:firstLine="800"/>
        <w:rPr>
          <w:rFonts w:ascii="宋体" w:hAnsi="宋体" w:eastAsia="宋体"/>
          <w:sz w:val="24"/>
        </w:rPr>
      </w:pPr>
      <w:r>
        <w:rPr>
          <w:rFonts w:hint="eastAsia" w:ascii="宋体" w:hAnsi="宋体" w:eastAsia="宋体"/>
          <w:sz w:val="24"/>
        </w:rPr>
        <w:t>第</w:t>
      </w:r>
      <w:r>
        <w:rPr>
          <w:rFonts w:ascii="宋体" w:hAnsi="宋体" w:eastAsia="宋体"/>
          <w:sz w:val="24"/>
        </w:rPr>
        <w:t>3种方式：其他价格调整方式：以《佛山工程造价信息》2023年第</w:t>
      </w:r>
      <w:r>
        <w:rPr>
          <w:rFonts w:hint="eastAsia" w:ascii="宋体" w:hAnsi="宋体" w:eastAsia="宋体"/>
          <w:sz w:val="24"/>
        </w:rPr>
        <w:t>二季度的主要材料价格为基准期价格，施工当月已完成（不含已购置但尚未用于工程项目）的合格工程所消耗的主材（钢筋、钢材、混凝土、水泥、砂、碎石、砖、沥青、电缆）的发布价涨落幅度超过基准期价格</w:t>
      </w:r>
      <w:r>
        <w:rPr>
          <w:rFonts w:ascii="宋体" w:hAnsi="宋体" w:eastAsia="宋体"/>
          <w:sz w:val="24"/>
        </w:rPr>
        <w:t>10%（即当|1一施工当月发布价/2023年第</w:t>
      </w:r>
      <w:r>
        <w:rPr>
          <w:rFonts w:hint="eastAsia" w:ascii="宋体" w:hAnsi="宋体" w:eastAsia="宋体"/>
          <w:sz w:val="24"/>
        </w:rPr>
        <w:t>二季度发布价）</w:t>
      </w:r>
      <w:r>
        <w:rPr>
          <w:rFonts w:ascii="宋体" w:hAnsi="宋体" w:eastAsia="宋体"/>
          <w:sz w:val="24"/>
        </w:rPr>
        <w:t xml:space="preserve">|×100%&gt;10% </w:t>
      </w:r>
      <w:r>
        <w:rPr>
          <w:rFonts w:hint="eastAsia" w:ascii="宋体" w:hAnsi="宋体" w:eastAsia="宋体"/>
          <w:sz w:val="24"/>
        </w:rPr>
        <w:t>时），对超出</w:t>
      </w:r>
      <w:r>
        <w:rPr>
          <w:rFonts w:ascii="宋体" w:hAnsi="宋体" w:eastAsia="宋体"/>
          <w:sz w:val="24"/>
        </w:rPr>
        <w:t>10%部分则同比例相应予以调整（±10%（含）以内部分不予调整，风险由双方自担）。</w:t>
      </w:r>
    </w:p>
    <w:p>
      <w:pPr>
        <w:pStyle w:val="28"/>
        <w:spacing w:line="466" w:lineRule="exact"/>
        <w:ind w:firstLine="520"/>
        <w:rPr>
          <w:rFonts w:ascii="宋体" w:hAnsi="宋体" w:eastAsia="宋体"/>
          <w:sz w:val="24"/>
        </w:rPr>
      </w:pPr>
      <w:r>
        <w:rPr>
          <w:rFonts w:hint="eastAsia" w:ascii="宋体" w:hAnsi="宋体" w:eastAsia="宋体"/>
          <w:sz w:val="24"/>
        </w:rPr>
        <w:t>施工当月发布价为《佛山市工程造价信息》为准（如佛山市工程造价信息当月发布信息价不止一次，以发布价的平均价为施工当月发布价）；在《佛山市工程造价信息》有发布价的按《佛山市工程造价信息》的发布价进行调整，若该材料在《佛山市工程造价信息》无发布价的不作调整。</w:t>
      </w:r>
    </w:p>
    <w:p>
      <w:pPr>
        <w:pStyle w:val="28"/>
        <w:spacing w:line="466" w:lineRule="exact"/>
        <w:ind w:firstLine="700"/>
        <w:rPr>
          <w:rFonts w:ascii="宋体" w:hAnsi="宋体" w:eastAsia="宋体"/>
          <w:sz w:val="24"/>
        </w:rPr>
      </w:pPr>
      <w:r>
        <w:rPr>
          <w:rFonts w:hint="eastAsia" w:ascii="宋体" w:hAnsi="宋体" w:eastAsia="宋体"/>
          <w:sz w:val="24"/>
        </w:rPr>
        <w:t>主材消耗量以乐平镇财政部门编制的预算审核报告中的定额消耗量为准。</w:t>
      </w:r>
    </w:p>
    <w:p>
      <w:pPr>
        <w:pStyle w:val="28"/>
        <w:spacing w:after="300" w:line="466" w:lineRule="exact"/>
        <w:ind w:firstLine="700"/>
        <w:rPr>
          <w:rFonts w:ascii="宋体" w:hAnsi="宋体" w:eastAsia="宋体"/>
          <w:sz w:val="24"/>
        </w:rPr>
      </w:pPr>
      <w:r>
        <w:rPr>
          <w:rFonts w:hint="eastAsia" w:ascii="宋体" w:hAnsi="宋体" w:eastAsia="宋体"/>
          <w:sz w:val="24"/>
        </w:rPr>
        <w:t>发承包双方应根据发包人、监理人及承包人三方共同确认的已完成的当月合格工程量，按前述的约定调整工程材料价差及工程结算造价，并于工程竣工结算时一并调整。</w:t>
      </w:r>
    </w:p>
    <w:p>
      <w:pPr>
        <w:pStyle w:val="28"/>
        <w:spacing w:line="440" w:lineRule="exact"/>
        <w:jc w:val="left"/>
        <w:outlineLvl w:val="1"/>
        <w:rPr>
          <w:rFonts w:ascii="宋体" w:hAnsi="宋体" w:eastAsia="宋体"/>
          <w:sz w:val="24"/>
        </w:rPr>
      </w:pPr>
      <w:bookmarkStart w:id="252" w:name="_Toc4514"/>
      <w:r>
        <w:rPr>
          <w:rFonts w:ascii="宋体" w:hAnsi="宋体" w:eastAsia="宋体"/>
          <w:sz w:val="24"/>
        </w:rPr>
        <w:t xml:space="preserve">12. </w:t>
      </w:r>
      <w:r>
        <w:rPr>
          <w:rFonts w:hint="eastAsia" w:ascii="宋体" w:hAnsi="宋体" w:eastAsia="宋体"/>
          <w:sz w:val="24"/>
        </w:rPr>
        <w:t>合同价格、计量与支付</w:t>
      </w:r>
      <w:bookmarkEnd w:id="252"/>
    </w:p>
    <w:p>
      <w:pPr>
        <w:pStyle w:val="28"/>
        <w:spacing w:line="440" w:lineRule="exact"/>
        <w:ind w:firstLine="480" w:firstLineChars="200"/>
        <w:rPr>
          <w:rFonts w:ascii="宋体" w:hAnsi="宋体" w:eastAsia="宋体"/>
          <w:sz w:val="24"/>
        </w:rPr>
      </w:pPr>
      <w:r>
        <w:rPr>
          <w:rFonts w:ascii="宋体" w:hAnsi="宋体" w:eastAsia="宋体"/>
          <w:sz w:val="24"/>
        </w:rPr>
        <w:t xml:space="preserve">12.1 </w:t>
      </w:r>
      <w:r>
        <w:rPr>
          <w:rFonts w:hint="eastAsia" w:ascii="宋体" w:hAnsi="宋体" w:eastAsia="宋体"/>
          <w:sz w:val="24"/>
        </w:rPr>
        <w:t>合同价格形式</w:t>
      </w:r>
    </w:p>
    <w:p>
      <w:pPr>
        <w:pStyle w:val="28"/>
        <w:spacing w:line="440" w:lineRule="exact"/>
        <w:ind w:firstLine="480" w:firstLineChars="200"/>
        <w:jc w:val="left"/>
        <w:outlineLvl w:val="1"/>
        <w:rPr>
          <w:rFonts w:ascii="宋体" w:hAnsi="宋体" w:eastAsia="宋体"/>
          <w:sz w:val="24"/>
        </w:rPr>
      </w:pPr>
      <w:bookmarkStart w:id="253" w:name="_Toc1911"/>
      <w:r>
        <w:rPr>
          <w:rFonts w:ascii="宋体" w:hAnsi="宋体" w:eastAsia="宋体"/>
          <w:sz w:val="24"/>
        </w:rPr>
        <w:t>1、单价合同。</w:t>
      </w:r>
      <w:bookmarkEnd w:id="253"/>
    </w:p>
    <w:p>
      <w:pPr>
        <w:pStyle w:val="28"/>
        <w:widowControl/>
        <w:spacing w:line="440" w:lineRule="exact"/>
        <w:ind w:firstLine="480"/>
        <w:jc w:val="left"/>
        <w:rPr>
          <w:rFonts w:ascii="宋体" w:hAnsi="宋体" w:eastAsia="宋体"/>
          <w:b/>
          <w:bCs/>
          <w:kern w:val="0"/>
          <w:sz w:val="24"/>
          <w:u w:val="single"/>
        </w:rPr>
      </w:pPr>
      <w:r>
        <w:rPr>
          <w:rFonts w:hint="eastAsia" w:ascii="宋体" w:hAnsi="宋体" w:eastAsia="宋体"/>
          <w:b/>
          <w:bCs/>
          <w:sz w:val="24"/>
        </w:rPr>
        <w:t>综合单价包含的风险范围：（</w:t>
      </w:r>
      <w:r>
        <w:rPr>
          <w:rFonts w:ascii="宋体" w:hAnsi="宋体" w:eastAsia="宋体"/>
          <w:b/>
          <w:bCs/>
          <w:sz w:val="24"/>
        </w:rPr>
        <w:t>1）</w:t>
      </w:r>
      <w:r>
        <w:rPr>
          <w:rFonts w:hint="eastAsia" w:ascii="宋体" w:hAnsi="宋体" w:eastAsia="宋体"/>
          <w:b/>
          <w:bCs/>
          <w:sz w:val="24"/>
          <w:u w:val="single"/>
        </w:rPr>
        <w:t>本工程以综合单价承包，包工、包料、包工期、包安全、包文明施工等。</w:t>
      </w:r>
    </w:p>
    <w:p>
      <w:pPr>
        <w:pStyle w:val="28"/>
        <w:widowControl/>
        <w:spacing w:line="440" w:lineRule="exact"/>
        <w:ind w:firstLine="482" w:firstLineChars="200"/>
        <w:jc w:val="left"/>
        <w:rPr>
          <w:rFonts w:ascii="宋体" w:hAnsi="宋体" w:eastAsia="宋体"/>
          <w:b/>
          <w:bCs/>
          <w:kern w:val="0"/>
          <w:sz w:val="24"/>
          <w:u w:val="single"/>
        </w:rPr>
      </w:pPr>
      <w:r>
        <w:rPr>
          <w:rFonts w:hint="eastAsia" w:ascii="宋体" w:hAnsi="宋体" w:eastAsia="宋体"/>
          <w:b/>
          <w:bCs/>
          <w:kern w:val="0"/>
          <w:sz w:val="24"/>
          <w:u w:val="single"/>
        </w:rPr>
        <w:t>（</w:t>
      </w:r>
      <w:r>
        <w:rPr>
          <w:rFonts w:ascii="宋体" w:hAnsi="宋体" w:eastAsia="宋体"/>
          <w:b/>
          <w:bCs/>
          <w:kern w:val="0"/>
          <w:sz w:val="24"/>
          <w:u w:val="single"/>
        </w:rPr>
        <w:t>2）土方工程量按竞争性磋商文件工程量清单包干，不作调整。</w:t>
      </w:r>
    </w:p>
    <w:p>
      <w:pPr>
        <w:pStyle w:val="28"/>
        <w:widowControl/>
        <w:spacing w:line="440" w:lineRule="exact"/>
        <w:ind w:firstLine="482" w:firstLineChars="200"/>
        <w:jc w:val="left"/>
        <w:rPr>
          <w:rFonts w:ascii="宋体" w:hAnsi="宋体" w:eastAsia="宋体"/>
          <w:b/>
          <w:bCs/>
          <w:kern w:val="0"/>
          <w:sz w:val="24"/>
          <w:u w:val="single"/>
        </w:rPr>
      </w:pPr>
      <w:r>
        <w:rPr>
          <w:rFonts w:hint="eastAsia" w:ascii="宋体" w:hAnsi="宋体" w:eastAsia="宋体"/>
          <w:b/>
          <w:bCs/>
          <w:kern w:val="0"/>
          <w:sz w:val="24"/>
          <w:u w:val="single"/>
        </w:rPr>
        <w:t>（</w:t>
      </w:r>
      <w:r>
        <w:rPr>
          <w:rFonts w:ascii="宋体" w:hAnsi="宋体" w:eastAsia="宋体"/>
          <w:b/>
          <w:bCs/>
          <w:kern w:val="0"/>
          <w:sz w:val="24"/>
          <w:u w:val="single"/>
        </w:rPr>
        <w:t>3）施工范围内清淤、清表、树木迁移、临时道路由</w:t>
      </w:r>
      <w:r>
        <w:rPr>
          <w:rFonts w:hint="eastAsia" w:ascii="宋体" w:hAnsi="宋体" w:eastAsia="宋体"/>
          <w:b/>
          <w:bCs/>
          <w:kern w:val="0"/>
          <w:sz w:val="24"/>
          <w:u w:val="single"/>
        </w:rPr>
        <w:t>中选供应商</w:t>
      </w:r>
      <w:r>
        <w:rPr>
          <w:rFonts w:ascii="宋体" w:hAnsi="宋体" w:eastAsia="宋体"/>
          <w:b/>
          <w:bCs/>
          <w:kern w:val="0"/>
          <w:sz w:val="24"/>
          <w:u w:val="single"/>
        </w:rPr>
        <w:t>单位负责，产生的相关费用（除</w:t>
      </w:r>
      <w:r>
        <w:rPr>
          <w:rFonts w:hint="eastAsia" w:ascii="宋体" w:hAnsi="宋体" w:eastAsia="宋体"/>
          <w:b/>
          <w:bCs/>
          <w:kern w:val="0"/>
          <w:sz w:val="24"/>
          <w:u w:val="single"/>
        </w:rPr>
        <w:t>响应</w:t>
      </w:r>
      <w:r>
        <w:rPr>
          <w:rFonts w:ascii="宋体" w:hAnsi="宋体" w:eastAsia="宋体"/>
          <w:b/>
          <w:bCs/>
          <w:kern w:val="0"/>
          <w:sz w:val="24"/>
          <w:u w:val="single"/>
        </w:rPr>
        <w:t>清单包含的内容外）已包含在合同总价中。</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风险费用的计算方法：</w:t>
      </w:r>
      <w:r>
        <w:rPr>
          <w:rFonts w:hint="eastAsia" w:ascii="宋体" w:hAnsi="宋体" w:eastAsia="宋体"/>
          <w:sz w:val="24"/>
          <w:u w:val="single"/>
        </w:rPr>
        <w:t>按本专用条款</w:t>
      </w:r>
      <w:r>
        <w:rPr>
          <w:rFonts w:ascii="宋体" w:hAnsi="宋体" w:eastAsia="宋体"/>
          <w:sz w:val="24"/>
          <w:u w:val="single"/>
        </w:rPr>
        <w:t>1.13、10.4.1条规定</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风险范围以外合同价格的调整方法：</w:t>
      </w:r>
      <w:r>
        <w:rPr>
          <w:rFonts w:hint="eastAsia" w:ascii="宋体" w:hAnsi="宋体" w:eastAsia="宋体"/>
          <w:sz w:val="24"/>
          <w:u w:val="single"/>
        </w:rPr>
        <w:t>按本专用条款</w:t>
      </w:r>
      <w:r>
        <w:rPr>
          <w:rFonts w:ascii="宋体" w:hAnsi="宋体" w:eastAsia="宋体"/>
          <w:sz w:val="24"/>
          <w:u w:val="single"/>
        </w:rPr>
        <w:t>1.13、10.4.1条规定</w:t>
      </w:r>
      <w:r>
        <w:rPr>
          <w:rFonts w:hint="eastAsia" w:ascii="宋体" w:hAnsi="宋体" w:eastAsia="宋体"/>
          <w:sz w:val="24"/>
        </w:rPr>
        <w:t>。</w:t>
      </w:r>
    </w:p>
    <w:p>
      <w:pPr>
        <w:pStyle w:val="28"/>
        <w:spacing w:line="440" w:lineRule="exact"/>
        <w:ind w:firstLine="480" w:firstLineChars="200"/>
        <w:jc w:val="left"/>
        <w:outlineLvl w:val="1"/>
        <w:rPr>
          <w:rFonts w:ascii="宋体" w:hAnsi="宋体" w:eastAsia="宋体"/>
          <w:sz w:val="24"/>
        </w:rPr>
      </w:pPr>
      <w:bookmarkStart w:id="254" w:name="_Toc19884"/>
      <w:r>
        <w:rPr>
          <w:rFonts w:ascii="宋体" w:hAnsi="宋体" w:eastAsia="宋体"/>
          <w:sz w:val="24"/>
        </w:rPr>
        <w:t>2、总价合同。</w:t>
      </w:r>
      <w:bookmarkEnd w:id="254"/>
    </w:p>
    <w:p>
      <w:pPr>
        <w:pStyle w:val="28"/>
        <w:spacing w:line="440" w:lineRule="exact"/>
        <w:ind w:firstLine="480" w:firstLineChars="200"/>
        <w:jc w:val="left"/>
        <w:rPr>
          <w:rFonts w:ascii="宋体" w:hAnsi="宋体" w:eastAsia="宋体"/>
          <w:sz w:val="24"/>
        </w:rPr>
      </w:pPr>
      <w:r>
        <w:rPr>
          <w:rFonts w:hint="eastAsia" w:ascii="宋体" w:hAnsi="宋体" w:eastAsia="宋体"/>
          <w:sz w:val="24"/>
        </w:rPr>
        <w:t>总价包含的风险范围：</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风险费用的计算方法：</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风险范围以外合同价格的调整方法：</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outlineLvl w:val="1"/>
        <w:rPr>
          <w:rFonts w:ascii="宋体" w:hAnsi="宋体" w:eastAsia="宋体"/>
          <w:sz w:val="24"/>
        </w:rPr>
      </w:pPr>
      <w:bookmarkStart w:id="255" w:name="_Toc1439"/>
      <w:r>
        <w:rPr>
          <w:rFonts w:ascii="宋体" w:hAnsi="宋体" w:eastAsia="宋体"/>
          <w:sz w:val="24"/>
        </w:rPr>
        <w:t>3、其他价格方式：</w:t>
      </w:r>
      <w:r>
        <w:rPr>
          <w:rFonts w:ascii="宋体" w:hAnsi="宋体" w:eastAsia="宋体"/>
          <w:sz w:val="24"/>
          <w:u w:val="single"/>
        </w:rPr>
        <w:t xml:space="preserve"> / </w:t>
      </w:r>
      <w:r>
        <w:rPr>
          <w:rFonts w:hint="eastAsia" w:ascii="宋体" w:hAnsi="宋体" w:eastAsia="宋体"/>
          <w:sz w:val="24"/>
        </w:rPr>
        <w:t>。</w:t>
      </w:r>
      <w:bookmarkEnd w:id="255"/>
    </w:p>
    <w:p>
      <w:pPr>
        <w:pStyle w:val="28"/>
        <w:spacing w:line="440" w:lineRule="exact"/>
        <w:ind w:firstLine="480" w:firstLineChars="200"/>
        <w:rPr>
          <w:rFonts w:ascii="宋体" w:hAnsi="宋体" w:eastAsia="宋体"/>
          <w:sz w:val="24"/>
        </w:rPr>
      </w:pPr>
      <w:r>
        <w:rPr>
          <w:rFonts w:ascii="宋体" w:hAnsi="宋体" w:eastAsia="宋体"/>
          <w:sz w:val="24"/>
        </w:rPr>
        <w:t xml:space="preserve">12.2 </w:t>
      </w:r>
      <w:r>
        <w:rPr>
          <w:rFonts w:hint="eastAsia" w:ascii="宋体" w:hAnsi="宋体" w:eastAsia="宋体"/>
          <w:sz w:val="24"/>
        </w:rPr>
        <w:t>预付款</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12.2.1 </w:t>
      </w:r>
      <w:r>
        <w:rPr>
          <w:rFonts w:hint="eastAsia" w:ascii="宋体" w:hAnsi="宋体" w:eastAsia="宋体"/>
          <w:sz w:val="24"/>
        </w:rPr>
        <w:t>预付款的支付</w:t>
      </w:r>
    </w:p>
    <w:p>
      <w:pPr>
        <w:pStyle w:val="28"/>
        <w:spacing w:line="360" w:lineRule="auto"/>
        <w:ind w:firstLine="480" w:firstLineChars="200"/>
        <w:rPr>
          <w:rFonts w:ascii="宋体" w:hAnsi="宋体" w:eastAsia="宋体"/>
          <w:sz w:val="24"/>
        </w:rPr>
      </w:pPr>
      <w:r>
        <w:rPr>
          <w:rFonts w:hint="eastAsia" w:ascii="宋体" w:hAnsi="宋体" w:eastAsia="宋体"/>
          <w:sz w:val="24"/>
        </w:rPr>
        <w:t>预付款支付比例或金额：</w:t>
      </w:r>
      <w:r>
        <w:rPr>
          <w:rFonts w:hint="eastAsia" w:ascii="宋体" w:hAnsi="宋体" w:eastAsia="宋体"/>
          <w:sz w:val="24"/>
          <w:u w:val="single"/>
        </w:rPr>
        <w:t>本项目不适用</w:t>
      </w:r>
      <w:r>
        <w:rPr>
          <w:rFonts w:hint="eastAsia" w:ascii="宋体" w:hAnsi="宋体" w:eastAsia="宋体"/>
          <w:sz w:val="24"/>
        </w:rPr>
        <w:t>。</w:t>
      </w:r>
    </w:p>
    <w:p>
      <w:pPr>
        <w:pStyle w:val="28"/>
        <w:spacing w:line="360" w:lineRule="auto"/>
        <w:ind w:firstLine="480" w:firstLineChars="200"/>
        <w:rPr>
          <w:rFonts w:ascii="宋体" w:hAnsi="宋体" w:eastAsia="宋体"/>
          <w:sz w:val="24"/>
        </w:rPr>
      </w:pPr>
      <w:r>
        <w:rPr>
          <w:rFonts w:hint="eastAsia" w:ascii="宋体" w:hAnsi="宋体" w:eastAsia="宋体"/>
          <w:sz w:val="24"/>
        </w:rPr>
        <w:t>预付款支付期限：</w:t>
      </w:r>
      <w:r>
        <w:rPr>
          <w:rFonts w:hint="eastAsia" w:ascii="宋体" w:hAnsi="宋体" w:eastAsia="宋体"/>
          <w:sz w:val="24"/>
          <w:u w:val="single"/>
        </w:rPr>
        <w:t>本项目不适用。</w:t>
      </w:r>
    </w:p>
    <w:p>
      <w:pPr>
        <w:pStyle w:val="28"/>
        <w:spacing w:line="360" w:lineRule="auto"/>
        <w:ind w:firstLine="480" w:firstLineChars="200"/>
        <w:jc w:val="left"/>
        <w:rPr>
          <w:rFonts w:ascii="宋体" w:hAnsi="宋体" w:eastAsia="宋体"/>
          <w:sz w:val="24"/>
          <w:u w:val="single"/>
        </w:rPr>
      </w:pPr>
      <w:r>
        <w:rPr>
          <w:rFonts w:hint="eastAsia" w:ascii="宋体" w:hAnsi="宋体" w:eastAsia="宋体"/>
          <w:sz w:val="24"/>
        </w:rPr>
        <w:t>预付款扣回的方式：</w:t>
      </w:r>
      <w:r>
        <w:rPr>
          <w:rFonts w:hint="eastAsia" w:ascii="宋体" w:hAnsi="宋体" w:eastAsia="宋体"/>
          <w:sz w:val="24"/>
          <w:u w:val="single"/>
        </w:rPr>
        <w:t>本项目不适用。</w:t>
      </w:r>
    </w:p>
    <w:p>
      <w:pPr>
        <w:pStyle w:val="28"/>
        <w:spacing w:line="360" w:lineRule="auto"/>
        <w:ind w:firstLine="480" w:firstLineChars="200"/>
        <w:jc w:val="left"/>
        <w:rPr>
          <w:rFonts w:ascii="宋体" w:hAnsi="宋体" w:eastAsia="宋体"/>
          <w:sz w:val="24"/>
        </w:rPr>
      </w:pPr>
      <w:r>
        <w:rPr>
          <w:rFonts w:ascii="宋体" w:hAnsi="宋体" w:eastAsia="宋体"/>
          <w:sz w:val="24"/>
        </w:rPr>
        <w:t xml:space="preserve">12.2.2 </w:t>
      </w:r>
      <w:r>
        <w:rPr>
          <w:rFonts w:hint="eastAsia" w:ascii="宋体" w:hAnsi="宋体" w:eastAsia="宋体"/>
          <w:sz w:val="24"/>
        </w:rPr>
        <w:t>预付款担保</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承包人提交预付款担保的期限：</w:t>
      </w:r>
      <w:r>
        <w:rPr>
          <w:rFonts w:hint="eastAsia" w:ascii="宋体" w:hAnsi="宋体" w:eastAsia="宋体"/>
          <w:sz w:val="24"/>
          <w:u w:val="single"/>
        </w:rPr>
        <w:t>本项目不适用</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hint="eastAsia" w:ascii="宋体" w:hAnsi="宋体" w:eastAsia="宋体"/>
          <w:sz w:val="24"/>
        </w:rPr>
        <w:t>预付款担保的形式为：</w:t>
      </w:r>
      <w:r>
        <w:rPr>
          <w:rFonts w:hint="eastAsia" w:ascii="宋体" w:hAnsi="宋体" w:eastAsia="宋体"/>
          <w:sz w:val="24"/>
          <w:u w:val="single"/>
        </w:rPr>
        <w:t>本项目不适用</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12.3 </w:t>
      </w:r>
      <w:r>
        <w:rPr>
          <w:rFonts w:hint="eastAsia" w:ascii="宋体" w:hAnsi="宋体" w:eastAsia="宋体"/>
          <w:sz w:val="24"/>
        </w:rPr>
        <w:t>计量</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12.3.1 </w:t>
      </w:r>
      <w:r>
        <w:rPr>
          <w:rFonts w:hint="eastAsia" w:ascii="宋体" w:hAnsi="宋体" w:eastAsia="宋体"/>
          <w:sz w:val="24"/>
        </w:rPr>
        <w:t>计量原则</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工程量计算规则：</w:t>
      </w:r>
      <w:r>
        <w:rPr>
          <w:rFonts w:hint="eastAsia" w:ascii="宋体" w:hAnsi="宋体" w:eastAsia="宋体"/>
          <w:sz w:val="24"/>
          <w:u w:val="single"/>
          <w:lang w:val="zh-CN"/>
        </w:rPr>
        <w:t>根据国家标准本项目以国家标准《建设工程工程量清单计价规范》（</w:t>
      </w:r>
      <w:r>
        <w:rPr>
          <w:rFonts w:ascii="宋体" w:hAnsi="宋体" w:eastAsia="宋体"/>
          <w:sz w:val="24"/>
          <w:u w:val="single"/>
          <w:lang w:val="zh-CN"/>
        </w:rPr>
        <w:t>GB50500-2013）、《广东省房屋建筑与装饰工程综合定额（2018）》、《广东省市政工程综合定额（2018）》及配套文件和资料进行计量。</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12.3.2 </w:t>
      </w:r>
      <w:r>
        <w:rPr>
          <w:rFonts w:hint="eastAsia" w:ascii="宋体" w:hAnsi="宋体" w:eastAsia="宋体"/>
          <w:sz w:val="24"/>
        </w:rPr>
        <w:t>计量周期</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关于计量周期的约定：</w:t>
      </w:r>
      <w:r>
        <w:rPr>
          <w:rFonts w:hint="eastAsia" w:ascii="宋体" w:hAnsi="宋体" w:eastAsia="宋体"/>
          <w:sz w:val="24"/>
          <w:u w:val="single"/>
        </w:rPr>
        <w:t>按专用合同条款</w:t>
      </w:r>
      <w:r>
        <w:rPr>
          <w:rFonts w:ascii="宋体" w:hAnsi="宋体" w:eastAsia="宋体"/>
          <w:sz w:val="24"/>
          <w:u w:val="single"/>
        </w:rPr>
        <w:t>12.4.1条、15条</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12.3.3 </w:t>
      </w:r>
      <w:r>
        <w:rPr>
          <w:rFonts w:hint="eastAsia" w:ascii="宋体" w:hAnsi="宋体" w:eastAsia="宋体"/>
          <w:sz w:val="24"/>
        </w:rPr>
        <w:t>单价合同的计量</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关于单价合同计量的约定：</w:t>
      </w:r>
      <w:r>
        <w:rPr>
          <w:rFonts w:hint="eastAsia" w:ascii="宋体" w:hAnsi="宋体" w:eastAsia="宋体"/>
          <w:sz w:val="24"/>
          <w:u w:val="single"/>
        </w:rPr>
        <w:t>按专用合同条款</w:t>
      </w:r>
      <w:r>
        <w:rPr>
          <w:rFonts w:ascii="宋体" w:hAnsi="宋体" w:eastAsia="宋体"/>
          <w:sz w:val="24"/>
          <w:u w:val="single"/>
        </w:rPr>
        <w:t>6.1.6、12.4.1条、15条</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12.3.4 </w:t>
      </w:r>
      <w:r>
        <w:rPr>
          <w:rFonts w:hint="eastAsia" w:ascii="宋体" w:hAnsi="宋体" w:eastAsia="宋体"/>
          <w:sz w:val="24"/>
        </w:rPr>
        <w:t>总价合同的计量</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关于总价合同计量的约定：</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12.3.5总价合同采用支付分解表计量支付的，是否适用第</w:t>
      </w:r>
      <w:r>
        <w:rPr>
          <w:rFonts w:ascii="宋体" w:hAnsi="宋体" w:eastAsia="宋体"/>
          <w:kern w:val="0"/>
          <w:sz w:val="24"/>
        </w:rPr>
        <w:t xml:space="preserve">12.3.4 </w:t>
      </w:r>
      <w:r>
        <w:rPr>
          <w:rFonts w:hint="eastAsia" w:ascii="宋体" w:hAnsi="宋体" w:eastAsia="宋体"/>
          <w:sz w:val="24"/>
        </w:rPr>
        <w:t>项</w:t>
      </w:r>
      <w:r>
        <w:rPr>
          <w:rFonts w:hint="eastAsia" w:ascii="宋体" w:hAnsi="宋体" w:eastAsia="宋体"/>
          <w:kern w:val="0"/>
          <w:sz w:val="24"/>
        </w:rPr>
        <w:t>〔总价合同的计量〕</w:t>
      </w:r>
      <w:r>
        <w:rPr>
          <w:rFonts w:hint="eastAsia" w:ascii="宋体" w:hAnsi="宋体" w:eastAsia="宋体"/>
          <w:sz w:val="24"/>
        </w:rPr>
        <w:t>约定进行计量：</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12.3.6 </w:t>
      </w:r>
      <w:r>
        <w:rPr>
          <w:rFonts w:hint="eastAsia" w:ascii="宋体" w:hAnsi="宋体" w:eastAsia="宋体"/>
          <w:sz w:val="24"/>
        </w:rPr>
        <w:t>其他价格形式合同的计量</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其他价格形式的计量方式和程序：</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12.4 </w:t>
      </w:r>
      <w:r>
        <w:rPr>
          <w:rFonts w:hint="eastAsia" w:ascii="宋体" w:hAnsi="宋体" w:eastAsia="宋体"/>
          <w:sz w:val="24"/>
        </w:rPr>
        <w:t>工程进度款支付</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12.4.1 </w:t>
      </w:r>
      <w:r>
        <w:rPr>
          <w:rFonts w:hint="eastAsia" w:ascii="宋体" w:hAnsi="宋体" w:eastAsia="宋体"/>
          <w:sz w:val="24"/>
        </w:rPr>
        <w:t>付款周期</w:t>
      </w:r>
    </w:p>
    <w:p>
      <w:pPr>
        <w:pStyle w:val="28"/>
        <w:spacing w:line="440" w:lineRule="exact"/>
        <w:ind w:firstLine="482" w:firstLineChars="200"/>
        <w:jc w:val="left"/>
        <w:rPr>
          <w:rFonts w:ascii="宋体" w:hAnsi="宋体" w:eastAsia="宋体"/>
          <w:sz w:val="24"/>
        </w:rPr>
      </w:pPr>
      <w:r>
        <w:rPr>
          <w:rFonts w:hint="eastAsia" w:ascii="宋体" w:hAnsi="宋体" w:eastAsia="宋体"/>
          <w:b/>
          <w:bCs/>
          <w:sz w:val="24"/>
        </w:rPr>
        <w:t>关于付款周期的约定：</w:t>
      </w:r>
    </w:p>
    <w:p>
      <w:pPr>
        <w:pStyle w:val="28"/>
        <w:spacing w:line="440" w:lineRule="exact"/>
        <w:ind w:firstLine="480" w:firstLineChars="200"/>
        <w:jc w:val="left"/>
        <w:rPr>
          <w:rFonts w:ascii="宋体" w:hAnsi="宋体" w:eastAsia="宋体"/>
          <w:sz w:val="24"/>
        </w:rPr>
      </w:pPr>
      <w:r>
        <w:rPr>
          <w:rFonts w:ascii="宋体" w:hAnsi="宋体" w:eastAsia="宋体"/>
          <w:sz w:val="24"/>
        </w:rPr>
        <w:t>1）工程款每月按上个月完成合格工程量的80%支付。【其中变更工程按本款第2）执行】</w:t>
      </w:r>
    </w:p>
    <w:p>
      <w:pPr>
        <w:pStyle w:val="28"/>
        <w:spacing w:line="440" w:lineRule="exact"/>
        <w:ind w:firstLine="480" w:firstLineChars="200"/>
        <w:jc w:val="left"/>
        <w:rPr>
          <w:rFonts w:ascii="宋体" w:hAnsi="宋体" w:eastAsia="宋体"/>
          <w:sz w:val="24"/>
        </w:rPr>
      </w:pPr>
      <w:r>
        <w:rPr>
          <w:rFonts w:ascii="宋体" w:hAnsi="宋体" w:eastAsia="宋体"/>
          <w:sz w:val="24"/>
        </w:rPr>
        <w:t>2）变更工程的暂定计量和支付：工程变更经审批完成后，承包人可提出工程变更中间支付。由发包人委托具备相应资质的审核单位按合同约定计算方式出具变更估价报告后，承包人可要求申请变更估价报告的70%作为工程进度款支付（所产生的审核费用由承包人承担）。此类变更估价报告仅作为中间支付计量依据，最终变更工程结算金额以本项目造价管理部门审定为准。</w:t>
      </w:r>
    </w:p>
    <w:p>
      <w:pPr>
        <w:pStyle w:val="28"/>
        <w:spacing w:line="440" w:lineRule="exact"/>
        <w:ind w:firstLine="480" w:firstLineChars="200"/>
        <w:jc w:val="left"/>
        <w:rPr>
          <w:rFonts w:ascii="宋体" w:hAnsi="宋体" w:eastAsia="宋体"/>
          <w:sz w:val="24"/>
        </w:rPr>
      </w:pPr>
      <w:r>
        <w:rPr>
          <w:rFonts w:ascii="宋体" w:hAnsi="宋体" w:eastAsia="宋体"/>
          <w:sz w:val="24"/>
        </w:rPr>
        <w:t>3）余下的工程款（扣除审定结算价的3%作为工程质量保证金）在工程验收合格并经本项目造价管理部门审定结算后按程序支付，工程质量保证金在工程缺陷责任期满后且承包人按要求履行保修义务后按程序无息付清。</w:t>
      </w:r>
    </w:p>
    <w:p>
      <w:pPr>
        <w:pStyle w:val="28"/>
        <w:spacing w:line="440" w:lineRule="exact"/>
        <w:ind w:firstLine="480" w:firstLineChars="200"/>
        <w:jc w:val="left"/>
        <w:rPr>
          <w:rFonts w:ascii="宋体" w:hAnsi="宋体" w:eastAsia="宋体"/>
          <w:sz w:val="24"/>
        </w:rPr>
      </w:pPr>
      <w:r>
        <w:rPr>
          <w:rFonts w:ascii="宋体" w:hAnsi="宋体" w:eastAsia="宋体"/>
          <w:sz w:val="24"/>
        </w:rPr>
        <w:t>4)上述款项均不计算利息。承包人应严格按税收政策规定，向工程所在地税务机关申报预</w:t>
      </w:r>
      <w:r>
        <w:rPr>
          <w:rFonts w:hint="eastAsia" w:ascii="宋体" w:hAnsi="宋体" w:eastAsia="宋体"/>
          <w:sz w:val="24"/>
        </w:rPr>
        <w:t>缴增值税等各项税款，在收取工程款时，向发包人提供税款缴纳凭证及增值税发票。</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12.4.2 </w:t>
      </w:r>
      <w:r>
        <w:rPr>
          <w:rFonts w:hint="eastAsia" w:ascii="宋体" w:hAnsi="宋体" w:eastAsia="宋体"/>
          <w:sz w:val="24"/>
        </w:rPr>
        <w:t>进度付款申请单的编制</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关于进度付款申请单编制的约定：</w:t>
      </w:r>
      <w:r>
        <w:rPr>
          <w:rFonts w:hint="eastAsia" w:ascii="宋体" w:hAnsi="宋体" w:eastAsia="宋体"/>
          <w:sz w:val="24"/>
          <w:u w:val="single"/>
        </w:rPr>
        <w:t>除通用合同条款第（</w:t>
      </w:r>
      <w:r>
        <w:rPr>
          <w:rFonts w:ascii="宋体" w:hAnsi="宋体" w:eastAsia="宋体"/>
          <w:sz w:val="24"/>
          <w:u w:val="single"/>
        </w:rPr>
        <w:t>5）点修改为索偿增加的金额不作为进度款支付，结算时统一支付外，其他条款按通用合同条款执行</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12.4.3 </w:t>
      </w:r>
      <w:r>
        <w:rPr>
          <w:rFonts w:hint="eastAsia" w:ascii="宋体" w:hAnsi="宋体" w:eastAsia="宋体"/>
          <w:sz w:val="24"/>
        </w:rPr>
        <w:t>进度付款申请单的提交</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w:t>
      </w:r>
      <w:r>
        <w:rPr>
          <w:rFonts w:ascii="宋体" w:hAnsi="宋体" w:eastAsia="宋体"/>
          <w:sz w:val="24"/>
        </w:rPr>
        <w:t>1）单价合同进度付款申请单提交的约定：</w:t>
      </w:r>
      <w:r>
        <w:rPr>
          <w:rFonts w:hint="eastAsia" w:ascii="宋体" w:hAnsi="宋体" w:eastAsia="宋体"/>
          <w:sz w:val="24"/>
          <w:u w:val="single"/>
        </w:rPr>
        <w:t>按专用合同条款</w:t>
      </w:r>
      <w:r>
        <w:rPr>
          <w:rFonts w:ascii="宋体" w:hAnsi="宋体" w:eastAsia="宋体"/>
          <w:sz w:val="24"/>
          <w:u w:val="single"/>
        </w:rPr>
        <w:t>12.4.1条、15条</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w:t>
      </w:r>
      <w:r>
        <w:rPr>
          <w:rFonts w:ascii="宋体" w:hAnsi="宋体" w:eastAsia="宋体"/>
          <w:sz w:val="24"/>
        </w:rPr>
        <w:t>2）总价合同进度付款申请单提交的约定：</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w:t>
      </w:r>
      <w:r>
        <w:rPr>
          <w:rFonts w:ascii="宋体" w:hAnsi="宋体" w:eastAsia="宋体"/>
          <w:sz w:val="24"/>
        </w:rPr>
        <w:t>3）其他价格形式合同进度付款申请单提交的约定：</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12.4.4 </w:t>
      </w:r>
      <w:r>
        <w:rPr>
          <w:rFonts w:hint="eastAsia" w:ascii="宋体" w:hAnsi="宋体" w:eastAsia="宋体"/>
          <w:sz w:val="24"/>
        </w:rPr>
        <w:t>进度款审核和支付</w:t>
      </w:r>
    </w:p>
    <w:p>
      <w:pPr>
        <w:pStyle w:val="28"/>
        <w:spacing w:line="440" w:lineRule="exact"/>
        <w:ind w:firstLine="480" w:firstLineChars="200"/>
        <w:jc w:val="left"/>
        <w:rPr>
          <w:rFonts w:ascii="宋体" w:hAnsi="宋体" w:eastAsia="宋体"/>
          <w:sz w:val="24"/>
          <w:u w:val="single"/>
        </w:rPr>
      </w:pPr>
      <w:r>
        <w:rPr>
          <w:rFonts w:hint="eastAsia" w:ascii="宋体" w:hAnsi="宋体" w:eastAsia="宋体"/>
          <w:sz w:val="24"/>
        </w:rPr>
        <w:t>（</w:t>
      </w:r>
      <w:r>
        <w:rPr>
          <w:rFonts w:ascii="宋体" w:hAnsi="宋体" w:eastAsia="宋体"/>
          <w:sz w:val="24"/>
        </w:rPr>
        <w:t>1）监理人审查并报送发包人的期限：</w:t>
      </w:r>
      <w:r>
        <w:rPr>
          <w:rFonts w:ascii="宋体" w:hAnsi="宋体" w:eastAsia="宋体"/>
          <w:sz w:val="24"/>
          <w:u w:val="single"/>
        </w:rPr>
        <w:t xml:space="preserve"> 7天内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发包人完成审批并签发进度款支付证书的期限：</w:t>
      </w:r>
      <w:r>
        <w:rPr>
          <w:rFonts w:ascii="宋体" w:hAnsi="宋体" w:eastAsia="宋体"/>
          <w:sz w:val="24"/>
          <w:u w:val="single"/>
        </w:rPr>
        <w:t xml:space="preserve"> 7天内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w:t>
      </w:r>
      <w:r>
        <w:rPr>
          <w:rFonts w:ascii="宋体" w:hAnsi="宋体" w:eastAsia="宋体"/>
          <w:sz w:val="24"/>
        </w:rPr>
        <w:t>2）发包人支付进度款的期限：</w:t>
      </w:r>
      <w:r>
        <w:rPr>
          <w:rFonts w:ascii="宋体" w:hAnsi="宋体" w:eastAsia="宋体"/>
          <w:sz w:val="24"/>
          <w:u w:val="single"/>
        </w:rPr>
        <w:t xml:space="preserve"> 按通用条款执行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发包人逾期支付进度款的违约金的计算方式：</w:t>
      </w:r>
      <w:r>
        <w:rPr>
          <w:rFonts w:ascii="宋体" w:hAnsi="宋体" w:eastAsia="宋体"/>
          <w:sz w:val="24"/>
          <w:u w:val="single"/>
        </w:rPr>
        <w:t xml:space="preserve"> 按通用条款执行 </w:t>
      </w:r>
      <w:r>
        <w:rPr>
          <w:rFonts w:hint="eastAsia" w:ascii="宋体" w:hAnsi="宋体" w:eastAsia="宋体"/>
          <w:sz w:val="24"/>
        </w:rPr>
        <w:t>。</w:t>
      </w:r>
    </w:p>
    <w:p>
      <w:pPr>
        <w:pStyle w:val="28"/>
        <w:spacing w:line="440" w:lineRule="exact"/>
        <w:ind w:firstLine="600" w:firstLineChars="250"/>
        <w:jc w:val="left"/>
        <w:rPr>
          <w:rFonts w:ascii="宋体" w:hAnsi="宋体" w:eastAsia="宋体"/>
          <w:sz w:val="24"/>
        </w:rPr>
      </w:pPr>
      <w:r>
        <w:rPr>
          <w:rFonts w:ascii="宋体" w:hAnsi="宋体" w:eastAsia="宋体"/>
          <w:sz w:val="24"/>
        </w:rPr>
        <w:t xml:space="preserve">12.4.6 </w:t>
      </w:r>
      <w:r>
        <w:rPr>
          <w:rFonts w:hint="eastAsia" w:ascii="宋体" w:hAnsi="宋体" w:eastAsia="宋体"/>
          <w:sz w:val="24"/>
        </w:rPr>
        <w:t>支付分解表的编制</w:t>
      </w:r>
    </w:p>
    <w:p>
      <w:pPr>
        <w:pStyle w:val="28"/>
        <w:spacing w:line="440" w:lineRule="exact"/>
        <w:ind w:left="4342" w:leftChars="228" w:hanging="3840" w:hangingChars="1600"/>
        <w:jc w:val="left"/>
        <w:outlineLvl w:val="1"/>
        <w:rPr>
          <w:rFonts w:ascii="宋体" w:hAnsi="宋体" w:eastAsia="宋体"/>
          <w:sz w:val="24"/>
        </w:rPr>
      </w:pPr>
      <w:bookmarkStart w:id="256" w:name="_Toc30977"/>
      <w:r>
        <w:rPr>
          <w:rFonts w:ascii="宋体" w:hAnsi="宋体" w:eastAsia="宋体"/>
          <w:sz w:val="24"/>
        </w:rPr>
        <w:t>2、总价合同支付分解表的编制与审批：</w:t>
      </w:r>
      <w:r>
        <w:rPr>
          <w:rFonts w:ascii="宋体" w:hAnsi="宋体" w:eastAsia="宋体"/>
          <w:sz w:val="24"/>
          <w:u w:val="single"/>
        </w:rPr>
        <w:t xml:space="preserve"> /  </w:t>
      </w:r>
      <w:r>
        <w:rPr>
          <w:rFonts w:hint="eastAsia" w:ascii="宋体" w:hAnsi="宋体" w:eastAsia="宋体"/>
          <w:sz w:val="24"/>
        </w:rPr>
        <w:t>。</w:t>
      </w:r>
      <w:bookmarkEnd w:id="256"/>
    </w:p>
    <w:p>
      <w:pPr>
        <w:pStyle w:val="28"/>
        <w:spacing w:line="440" w:lineRule="exact"/>
        <w:ind w:firstLine="480" w:firstLineChars="200"/>
        <w:jc w:val="left"/>
        <w:rPr>
          <w:rFonts w:ascii="宋体" w:hAnsi="宋体" w:eastAsia="宋体"/>
          <w:b/>
          <w:bCs/>
          <w:sz w:val="24"/>
        </w:rPr>
      </w:pPr>
      <w:r>
        <w:rPr>
          <w:rFonts w:ascii="宋体" w:hAnsi="宋体" w:eastAsia="宋体"/>
          <w:sz w:val="24"/>
        </w:rPr>
        <w:t>3、单价合同的总价项目支付分解表的编制与审批：</w:t>
      </w:r>
      <w:r>
        <w:rPr>
          <w:rFonts w:ascii="宋体" w:hAnsi="宋体" w:eastAsia="宋体"/>
          <w:sz w:val="24"/>
          <w:u w:val="single"/>
        </w:rPr>
        <w:t xml:space="preserve"> 按通用条款执行 </w:t>
      </w:r>
      <w:r>
        <w:rPr>
          <w:rFonts w:hint="eastAsia" w:ascii="宋体" w:hAnsi="宋体" w:eastAsia="宋体"/>
          <w:sz w:val="24"/>
        </w:rPr>
        <w:t>。</w:t>
      </w:r>
    </w:p>
    <w:p>
      <w:pPr>
        <w:pStyle w:val="28"/>
        <w:spacing w:line="440" w:lineRule="exact"/>
        <w:jc w:val="left"/>
        <w:outlineLvl w:val="1"/>
        <w:rPr>
          <w:rFonts w:ascii="宋体" w:hAnsi="宋体" w:eastAsia="宋体"/>
          <w:sz w:val="24"/>
        </w:rPr>
      </w:pPr>
      <w:bookmarkStart w:id="257" w:name="_Toc23644"/>
      <w:r>
        <w:rPr>
          <w:rFonts w:ascii="宋体" w:hAnsi="宋体" w:eastAsia="宋体"/>
          <w:sz w:val="24"/>
        </w:rPr>
        <w:t xml:space="preserve">13. </w:t>
      </w:r>
      <w:r>
        <w:rPr>
          <w:rFonts w:hint="eastAsia" w:ascii="宋体" w:hAnsi="宋体" w:eastAsia="宋体"/>
          <w:sz w:val="24"/>
        </w:rPr>
        <w:t>验收和工程试车</w:t>
      </w:r>
      <w:bookmarkEnd w:id="257"/>
    </w:p>
    <w:p>
      <w:pPr>
        <w:pStyle w:val="28"/>
        <w:spacing w:line="440" w:lineRule="exact"/>
        <w:ind w:firstLine="480" w:firstLineChars="200"/>
        <w:rPr>
          <w:rFonts w:ascii="宋体" w:hAnsi="宋体" w:eastAsia="宋体"/>
          <w:sz w:val="24"/>
        </w:rPr>
      </w:pPr>
      <w:r>
        <w:rPr>
          <w:rFonts w:ascii="宋体" w:hAnsi="宋体" w:eastAsia="宋体"/>
          <w:sz w:val="24"/>
        </w:rPr>
        <w:t xml:space="preserve">13.1 </w:t>
      </w:r>
      <w:r>
        <w:rPr>
          <w:rFonts w:hint="eastAsia" w:ascii="宋体" w:hAnsi="宋体" w:eastAsia="宋体"/>
          <w:sz w:val="24"/>
        </w:rPr>
        <w:t>分部分项工程验收</w:t>
      </w:r>
    </w:p>
    <w:p>
      <w:pPr>
        <w:pStyle w:val="28"/>
        <w:spacing w:line="440" w:lineRule="exact"/>
        <w:ind w:firstLine="480" w:firstLineChars="200"/>
        <w:jc w:val="left"/>
        <w:rPr>
          <w:rFonts w:ascii="宋体" w:hAnsi="宋体" w:eastAsia="宋体"/>
          <w:sz w:val="24"/>
        </w:rPr>
      </w:pPr>
      <w:r>
        <w:rPr>
          <w:rFonts w:ascii="宋体" w:hAnsi="宋体" w:eastAsia="宋体"/>
          <w:sz w:val="24"/>
        </w:rPr>
        <w:t>13.1.2监理人不能按时进行验收时，应提前</w:t>
      </w:r>
      <w:r>
        <w:rPr>
          <w:rFonts w:ascii="宋体" w:hAnsi="宋体" w:eastAsia="宋体"/>
          <w:sz w:val="24"/>
          <w:u w:val="single"/>
        </w:rPr>
        <w:t xml:space="preserve"> 24 </w:t>
      </w:r>
      <w:r>
        <w:rPr>
          <w:rFonts w:hint="eastAsia" w:ascii="宋体" w:hAnsi="宋体" w:eastAsia="宋体"/>
          <w:sz w:val="24"/>
        </w:rPr>
        <w:t>小时提交书面延期要求。</w:t>
      </w:r>
    </w:p>
    <w:p>
      <w:pPr>
        <w:pStyle w:val="28"/>
        <w:spacing w:line="440" w:lineRule="exact"/>
        <w:ind w:firstLine="480" w:firstLineChars="200"/>
        <w:jc w:val="left"/>
        <w:rPr>
          <w:rFonts w:ascii="宋体" w:hAnsi="宋体" w:eastAsia="宋体"/>
          <w:b/>
          <w:sz w:val="24"/>
        </w:rPr>
      </w:pPr>
      <w:r>
        <w:rPr>
          <w:rFonts w:hint="eastAsia" w:ascii="宋体" w:hAnsi="宋体" w:eastAsia="宋体"/>
          <w:sz w:val="24"/>
        </w:rPr>
        <w:t>关于延期最长不得超过：</w:t>
      </w:r>
      <w:r>
        <w:rPr>
          <w:rFonts w:ascii="宋体" w:hAnsi="宋体" w:eastAsia="宋体"/>
          <w:sz w:val="24"/>
          <w:u w:val="single"/>
        </w:rPr>
        <w:t xml:space="preserve"> 48 </w:t>
      </w:r>
      <w:r>
        <w:rPr>
          <w:rFonts w:hint="eastAsia" w:ascii="宋体" w:hAnsi="宋体" w:eastAsia="宋体"/>
          <w:sz w:val="24"/>
        </w:rPr>
        <w:t>小时。</w:t>
      </w:r>
    </w:p>
    <w:p>
      <w:pPr>
        <w:pStyle w:val="28"/>
        <w:spacing w:line="440" w:lineRule="exact"/>
        <w:ind w:firstLine="480" w:firstLineChars="200"/>
        <w:rPr>
          <w:rFonts w:ascii="宋体" w:hAnsi="宋体" w:eastAsia="宋体"/>
          <w:sz w:val="24"/>
        </w:rPr>
      </w:pPr>
      <w:r>
        <w:rPr>
          <w:rFonts w:ascii="宋体" w:hAnsi="宋体" w:eastAsia="宋体"/>
          <w:sz w:val="24"/>
        </w:rPr>
        <w:t xml:space="preserve">13.2 </w:t>
      </w:r>
      <w:r>
        <w:rPr>
          <w:rFonts w:hint="eastAsia" w:ascii="宋体" w:hAnsi="宋体" w:eastAsia="宋体"/>
          <w:sz w:val="24"/>
        </w:rPr>
        <w:t>竣工验收</w:t>
      </w:r>
    </w:p>
    <w:p>
      <w:pPr>
        <w:pStyle w:val="28"/>
        <w:spacing w:line="440" w:lineRule="exact"/>
        <w:ind w:firstLine="480" w:firstLineChars="200"/>
        <w:jc w:val="left"/>
        <w:rPr>
          <w:rFonts w:ascii="宋体" w:hAnsi="宋体" w:eastAsia="宋体"/>
          <w:sz w:val="24"/>
        </w:rPr>
      </w:pPr>
      <w:r>
        <w:rPr>
          <w:rFonts w:ascii="宋体" w:hAnsi="宋体" w:eastAsia="宋体"/>
          <w:sz w:val="24"/>
        </w:rPr>
        <w:t>13.2.2竣工验收程序</w:t>
      </w:r>
    </w:p>
    <w:p>
      <w:pPr>
        <w:pStyle w:val="28"/>
        <w:spacing w:line="440" w:lineRule="exact"/>
        <w:ind w:left="4320" w:hanging="4320" w:hangingChars="1800"/>
        <w:jc w:val="left"/>
        <w:rPr>
          <w:rFonts w:ascii="宋体" w:hAnsi="宋体" w:eastAsia="宋体"/>
          <w:sz w:val="24"/>
        </w:rPr>
      </w:pPr>
      <w:r>
        <w:rPr>
          <w:rFonts w:hint="eastAsia" w:ascii="宋体" w:hAnsi="宋体" w:eastAsia="宋体"/>
          <w:kern w:val="0"/>
          <w:sz w:val="24"/>
        </w:rPr>
        <w:t>关于竣工验收程序的约定：</w:t>
      </w:r>
      <w:r>
        <w:rPr>
          <w:rFonts w:hint="eastAsia" w:ascii="宋体" w:hAnsi="宋体" w:eastAsia="宋体"/>
          <w:sz w:val="24"/>
          <w:u w:val="single"/>
        </w:rPr>
        <w:t>按通用条款执行</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kern w:val="0"/>
          <w:sz w:val="24"/>
        </w:rPr>
        <w:t>发包人不按照本项约定组织竣工验收、颁发工程接收证书的违约金的计算方法：</w:t>
      </w:r>
      <w:r>
        <w:rPr>
          <w:rFonts w:hint="eastAsia" w:ascii="宋体" w:hAnsi="宋体" w:eastAsia="宋体"/>
          <w:sz w:val="24"/>
          <w:u w:val="single"/>
        </w:rPr>
        <w:t>按通用条款执行</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13.2.5移交、接收全部与部分工程</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承包人向发包人移交工程的期限：</w:t>
      </w:r>
      <w:r>
        <w:rPr>
          <w:rFonts w:hint="eastAsia" w:ascii="宋体" w:hAnsi="宋体" w:eastAsia="宋体"/>
          <w:sz w:val="24"/>
          <w:u w:val="single"/>
        </w:rPr>
        <w:t>按通用条款执行</w:t>
      </w:r>
      <w:r>
        <w:rPr>
          <w:rFonts w:hint="eastAsia" w:ascii="宋体" w:hAnsi="宋体" w:eastAsia="宋体"/>
          <w:sz w:val="24"/>
        </w:rPr>
        <w:t>。</w:t>
      </w:r>
    </w:p>
    <w:p>
      <w:pPr>
        <w:pStyle w:val="28"/>
        <w:spacing w:line="440" w:lineRule="exact"/>
        <w:ind w:firstLine="480" w:firstLineChars="200"/>
        <w:jc w:val="left"/>
        <w:rPr>
          <w:rFonts w:ascii="宋体" w:hAnsi="宋体" w:eastAsia="宋体"/>
          <w:sz w:val="24"/>
          <w:u w:val="single"/>
        </w:rPr>
      </w:pPr>
      <w:r>
        <w:rPr>
          <w:rFonts w:hint="eastAsia" w:ascii="宋体" w:hAnsi="宋体" w:eastAsia="宋体"/>
          <w:kern w:val="0"/>
          <w:sz w:val="24"/>
        </w:rPr>
        <w:t>发包人未按本合同约定接收全部或部分工程的，违约金的计算方法为：</w:t>
      </w:r>
      <w:r>
        <w:rPr>
          <w:rFonts w:hint="eastAsia" w:ascii="宋体" w:hAnsi="宋体" w:eastAsia="宋体"/>
          <w:sz w:val="24"/>
          <w:u w:val="single"/>
        </w:rPr>
        <w:t>按通用条款执行</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承包人未按时移交工程的，违约金的计算方法为：</w:t>
      </w:r>
      <w:r>
        <w:rPr>
          <w:rFonts w:hint="eastAsia" w:ascii="宋体" w:hAnsi="宋体" w:eastAsia="宋体"/>
          <w:sz w:val="24"/>
          <w:u w:val="single"/>
        </w:rPr>
        <w:t>按通用条款执行</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13.3 </w:t>
      </w:r>
      <w:r>
        <w:rPr>
          <w:rFonts w:hint="eastAsia" w:ascii="宋体" w:hAnsi="宋体" w:eastAsia="宋体"/>
          <w:sz w:val="24"/>
        </w:rPr>
        <w:t>工程试车</w:t>
      </w:r>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 xml:space="preserve">13.3.1 </w:t>
      </w:r>
      <w:r>
        <w:rPr>
          <w:rFonts w:hint="eastAsia" w:ascii="宋体" w:hAnsi="宋体" w:eastAsia="宋体"/>
          <w:kern w:val="0"/>
          <w:sz w:val="24"/>
        </w:rPr>
        <w:t>试车程序</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工程试车内容：</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1）单机无负荷试车费用由</w:t>
      </w:r>
      <w:r>
        <w:rPr>
          <w:rFonts w:ascii="宋体" w:hAnsi="宋体" w:eastAsia="宋体"/>
          <w:sz w:val="24"/>
          <w:u w:val="single"/>
        </w:rPr>
        <w:t xml:space="preserve"> / </w:t>
      </w:r>
      <w:r>
        <w:rPr>
          <w:rFonts w:hint="eastAsia" w:ascii="宋体" w:hAnsi="宋体" w:eastAsia="宋体"/>
          <w:kern w:val="0"/>
          <w:sz w:val="24"/>
        </w:rPr>
        <w:t>承担；</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2）无负荷联动试车费用由</w:t>
      </w:r>
      <w:r>
        <w:rPr>
          <w:rFonts w:ascii="宋体" w:hAnsi="宋体" w:eastAsia="宋体"/>
          <w:sz w:val="24"/>
          <w:u w:val="single"/>
        </w:rPr>
        <w:t xml:space="preserve"> / </w:t>
      </w:r>
      <w:r>
        <w:rPr>
          <w:rFonts w:hint="eastAsia" w:ascii="宋体" w:hAnsi="宋体" w:eastAsia="宋体"/>
          <w:kern w:val="0"/>
          <w:sz w:val="24"/>
        </w:rPr>
        <w:t>承担。</w:t>
      </w:r>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 xml:space="preserve">13.3.3 </w:t>
      </w:r>
      <w:r>
        <w:rPr>
          <w:rFonts w:hint="eastAsia" w:ascii="宋体" w:hAnsi="宋体" w:eastAsia="宋体"/>
          <w:kern w:val="0"/>
          <w:sz w:val="24"/>
        </w:rPr>
        <w:t>投料试车</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关于投料试车相关事项的约定：</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 xml:space="preserve">13.6 </w:t>
      </w:r>
      <w:r>
        <w:rPr>
          <w:rFonts w:hint="eastAsia" w:ascii="宋体" w:hAnsi="宋体" w:eastAsia="宋体"/>
          <w:kern w:val="0"/>
          <w:sz w:val="24"/>
        </w:rPr>
        <w:t>竣工退场</w:t>
      </w:r>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 xml:space="preserve">13.6.1 </w:t>
      </w:r>
      <w:r>
        <w:rPr>
          <w:rFonts w:hint="eastAsia" w:ascii="宋体" w:hAnsi="宋体" w:eastAsia="宋体"/>
          <w:kern w:val="0"/>
          <w:sz w:val="24"/>
        </w:rPr>
        <w:t>竣工退场</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承包人完成竣工退场的期限：</w:t>
      </w:r>
      <w:r>
        <w:rPr>
          <w:rFonts w:hint="eastAsia" w:ascii="宋体" w:hAnsi="宋体" w:eastAsia="宋体"/>
          <w:sz w:val="24"/>
          <w:u w:val="single"/>
        </w:rPr>
        <w:t>工程接收证书颁发后的</w:t>
      </w:r>
      <w:r>
        <w:rPr>
          <w:rFonts w:ascii="宋体" w:hAnsi="宋体" w:eastAsia="宋体"/>
          <w:sz w:val="24"/>
          <w:u w:val="single"/>
        </w:rPr>
        <w:t xml:space="preserve">10 </w:t>
      </w:r>
      <w:r>
        <w:rPr>
          <w:rFonts w:hint="eastAsia" w:ascii="宋体" w:hAnsi="宋体" w:eastAsia="宋体"/>
          <w:sz w:val="24"/>
          <w:u w:val="single"/>
        </w:rPr>
        <w:t>天内，除经监理工程师同意需在缺陷责任期内继续工作的人员、使用的施工设备和临时设施外，其余的人员、施工设备和临时设备均应撤离施工场地或拆除。缺陷责任期满时，承包人的人员和施工设备应全部撤离施工场地</w:t>
      </w:r>
      <w:r>
        <w:rPr>
          <w:rFonts w:hint="eastAsia" w:ascii="宋体" w:hAnsi="宋体" w:eastAsia="宋体"/>
          <w:kern w:val="0"/>
          <w:sz w:val="24"/>
        </w:rPr>
        <w:t>。</w:t>
      </w:r>
    </w:p>
    <w:p>
      <w:pPr>
        <w:pStyle w:val="28"/>
        <w:spacing w:line="440" w:lineRule="exact"/>
        <w:jc w:val="left"/>
        <w:outlineLvl w:val="1"/>
        <w:rPr>
          <w:rFonts w:ascii="宋体" w:hAnsi="宋体" w:eastAsia="宋体"/>
          <w:kern w:val="0"/>
          <w:sz w:val="24"/>
        </w:rPr>
      </w:pPr>
      <w:bookmarkStart w:id="258" w:name="_Toc3126"/>
      <w:r>
        <w:rPr>
          <w:rFonts w:ascii="宋体" w:hAnsi="宋体" w:eastAsia="宋体"/>
          <w:kern w:val="0"/>
          <w:sz w:val="24"/>
        </w:rPr>
        <w:t xml:space="preserve">14. </w:t>
      </w:r>
      <w:r>
        <w:rPr>
          <w:rFonts w:hint="eastAsia" w:ascii="宋体" w:hAnsi="宋体" w:eastAsia="宋体"/>
          <w:kern w:val="0"/>
          <w:sz w:val="24"/>
        </w:rPr>
        <w:t>竣工结算</w:t>
      </w:r>
      <w:bookmarkEnd w:id="258"/>
    </w:p>
    <w:p>
      <w:pPr>
        <w:pStyle w:val="28"/>
        <w:spacing w:line="440" w:lineRule="exact"/>
        <w:ind w:firstLine="480" w:firstLineChars="200"/>
        <w:rPr>
          <w:rFonts w:ascii="宋体" w:hAnsi="宋体" w:eastAsia="宋体"/>
          <w:sz w:val="24"/>
        </w:rPr>
      </w:pPr>
      <w:r>
        <w:rPr>
          <w:rFonts w:ascii="宋体" w:hAnsi="宋体" w:eastAsia="宋体"/>
          <w:sz w:val="24"/>
        </w:rPr>
        <w:t xml:space="preserve">14.1 </w:t>
      </w:r>
      <w:r>
        <w:rPr>
          <w:rFonts w:hint="eastAsia" w:ascii="宋体" w:hAnsi="宋体" w:eastAsia="宋体"/>
          <w:sz w:val="24"/>
        </w:rPr>
        <w:t>竣工结算申请</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承包人提交竣工结算申请单的期限：</w:t>
      </w:r>
      <w:r>
        <w:rPr>
          <w:rFonts w:hint="eastAsia" w:ascii="宋体" w:hAnsi="宋体" w:eastAsia="宋体"/>
          <w:sz w:val="24"/>
          <w:u w:val="single"/>
        </w:rPr>
        <w:t>工程竣工后</w:t>
      </w:r>
      <w:r>
        <w:rPr>
          <w:rFonts w:ascii="宋体" w:hAnsi="宋体" w:eastAsia="宋体"/>
          <w:sz w:val="24"/>
          <w:u w:val="single"/>
        </w:rPr>
        <w:t xml:space="preserve">30天内，并按2019  </w:t>
      </w:r>
      <w:r>
        <w:rPr>
          <w:rFonts w:hint="eastAsia" w:ascii="宋体" w:hAnsi="宋体" w:eastAsia="宋体"/>
          <w:sz w:val="24"/>
          <w:u w:val="single"/>
        </w:rPr>
        <w:t>三财基</w:t>
      </w:r>
      <w:r>
        <w:rPr>
          <w:rFonts w:ascii="宋体" w:hAnsi="宋体" w:eastAsia="宋体"/>
          <w:sz w:val="24"/>
          <w:u w:val="single"/>
        </w:rPr>
        <w:t>2号（佛山市三水区财政局关于区级财政投资评审实行结算、决算评审项目“一次性受理”资料事项的通知）要求执行</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竣工结算申请单应包括的内容：</w:t>
      </w:r>
      <w:r>
        <w:rPr>
          <w:rFonts w:hint="eastAsia" w:ascii="宋体" w:hAnsi="宋体" w:eastAsia="宋体"/>
          <w:sz w:val="24"/>
          <w:u w:val="single"/>
        </w:rPr>
        <w:t>按通用条款执行</w:t>
      </w:r>
      <w:r>
        <w:rPr>
          <w:rFonts w:hint="eastAsia" w:ascii="宋体" w:hAnsi="宋体" w:eastAsia="宋体"/>
          <w:sz w:val="24"/>
        </w:rPr>
        <w:t>。</w:t>
      </w:r>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 xml:space="preserve">14.2 </w:t>
      </w:r>
      <w:r>
        <w:rPr>
          <w:rFonts w:hint="eastAsia" w:ascii="宋体" w:hAnsi="宋体" w:eastAsia="宋体"/>
          <w:kern w:val="0"/>
          <w:sz w:val="24"/>
        </w:rPr>
        <w:t>竣工结算审核</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发包人审批竣工付款申请单的期限：</w:t>
      </w:r>
      <w:r>
        <w:rPr>
          <w:rFonts w:hint="eastAsia" w:ascii="宋体" w:hAnsi="宋体" w:eastAsia="宋体"/>
          <w:sz w:val="24"/>
          <w:u w:val="single"/>
        </w:rPr>
        <w:t>发包人收到结算文件后</w:t>
      </w:r>
      <w:r>
        <w:rPr>
          <w:rFonts w:ascii="宋体" w:hAnsi="宋体" w:eastAsia="宋体"/>
          <w:sz w:val="24"/>
          <w:u w:val="single"/>
        </w:rPr>
        <w:t>30天内委托财政部门审核，本工程结算时按实际完成工程内容及工程量进行计算，施工结算价以财政部门审定的为准</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发包人完成竣工付款的期限：</w:t>
      </w:r>
      <w:r>
        <w:rPr>
          <w:rFonts w:hint="eastAsia" w:ascii="宋体" w:hAnsi="宋体" w:eastAsia="宋体"/>
          <w:sz w:val="24"/>
          <w:u w:val="single"/>
        </w:rPr>
        <w:t>工程竣工验收合格后</w:t>
      </w:r>
      <w:r>
        <w:rPr>
          <w:rFonts w:ascii="宋体" w:hAnsi="宋体" w:eastAsia="宋体"/>
          <w:sz w:val="24"/>
          <w:u w:val="single"/>
        </w:rPr>
        <w:t>30天内，承包人提供完成竣工资料归档证明、完成工程移交的证明及发包人存档证明，全部工程通过综合验收合格办理竣工结算并经财政部门审定后30天内支付至总结算价的97%(需办理完结算手续)，余下工程审定结算价的3%作为质量保证金</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关于竣工付款证书异议部分复核的方式和程序：</w:t>
      </w:r>
      <w:r>
        <w:rPr>
          <w:rFonts w:hint="eastAsia" w:ascii="宋体" w:hAnsi="宋体" w:eastAsia="宋体"/>
          <w:sz w:val="24"/>
          <w:u w:val="single"/>
        </w:rPr>
        <w:t>按通用条款执行</w:t>
      </w:r>
      <w:r>
        <w:rPr>
          <w:rFonts w:hint="eastAsia" w:ascii="宋体" w:hAnsi="宋体" w:eastAsia="宋体"/>
          <w:sz w:val="24"/>
        </w:rPr>
        <w:t>。</w:t>
      </w:r>
    </w:p>
    <w:p>
      <w:pPr>
        <w:pStyle w:val="28"/>
        <w:widowControl/>
        <w:spacing w:line="440" w:lineRule="exact"/>
        <w:ind w:firstLine="480"/>
        <w:jc w:val="left"/>
        <w:rPr>
          <w:rFonts w:ascii="宋体" w:hAnsi="宋体" w:eastAsia="宋体"/>
          <w:b/>
          <w:bCs/>
          <w:kern w:val="0"/>
          <w:sz w:val="24"/>
        </w:rPr>
      </w:pPr>
      <w:r>
        <w:rPr>
          <w:rFonts w:hint="eastAsia" w:ascii="宋体" w:hAnsi="宋体" w:eastAsia="宋体"/>
          <w:b/>
          <w:bCs/>
          <w:kern w:val="0"/>
          <w:sz w:val="24"/>
        </w:rPr>
        <w:t>本款补充：若结算审核的核减金额超过工程结算送审价的</w:t>
      </w:r>
      <w:r>
        <w:rPr>
          <w:rFonts w:ascii="宋体" w:hAnsi="宋体" w:eastAsia="宋体"/>
          <w:b/>
          <w:bCs/>
          <w:kern w:val="0"/>
          <w:sz w:val="24"/>
        </w:rPr>
        <w:t>5%或以上时，超出部分的结算审核费用将由承包人承担，并支付给委托的造价咨询公司。超出部分的结算审核费=[（1-5%）×送审价-审定价]×[结算审核费/(送审价-审定价)]（注：结算审核费计算参照乐平镇财政部门工程造价咨询服务收费标准）</w:t>
      </w:r>
    </w:p>
    <w:p>
      <w:pPr>
        <w:pStyle w:val="28"/>
        <w:spacing w:line="440" w:lineRule="exact"/>
        <w:ind w:firstLine="480" w:firstLineChars="200"/>
        <w:rPr>
          <w:rFonts w:ascii="宋体" w:hAnsi="宋体" w:eastAsia="宋体"/>
          <w:sz w:val="24"/>
        </w:rPr>
      </w:pPr>
      <w:r>
        <w:rPr>
          <w:rFonts w:ascii="宋体" w:hAnsi="宋体" w:eastAsia="宋体"/>
          <w:sz w:val="24"/>
        </w:rPr>
        <w:t xml:space="preserve">14.4 </w:t>
      </w:r>
      <w:r>
        <w:rPr>
          <w:rFonts w:hint="eastAsia" w:ascii="宋体" w:hAnsi="宋体" w:eastAsia="宋体"/>
          <w:sz w:val="24"/>
        </w:rPr>
        <w:t>最终结清</w:t>
      </w:r>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 xml:space="preserve">14.4.1 </w:t>
      </w:r>
      <w:r>
        <w:rPr>
          <w:rFonts w:hint="eastAsia" w:ascii="宋体" w:hAnsi="宋体" w:eastAsia="宋体"/>
          <w:kern w:val="0"/>
          <w:sz w:val="24"/>
        </w:rPr>
        <w:t>最终结清申请单</w:t>
      </w:r>
    </w:p>
    <w:p>
      <w:pPr>
        <w:pStyle w:val="28"/>
        <w:spacing w:line="440" w:lineRule="exact"/>
        <w:ind w:firstLine="480" w:firstLineChars="200"/>
        <w:jc w:val="left"/>
        <w:rPr>
          <w:rFonts w:ascii="宋体" w:hAnsi="宋体" w:eastAsia="宋体"/>
          <w:sz w:val="24"/>
          <w:u w:val="single"/>
        </w:rPr>
      </w:pPr>
      <w:r>
        <w:rPr>
          <w:rFonts w:hint="eastAsia" w:ascii="宋体" w:hAnsi="宋体" w:eastAsia="宋体"/>
          <w:kern w:val="0"/>
          <w:sz w:val="24"/>
        </w:rPr>
        <w:t>承包人提交最终结清申请单的份数：</w:t>
      </w:r>
      <w:r>
        <w:rPr>
          <w:rFonts w:hint="eastAsia" w:ascii="宋体" w:hAnsi="宋体" w:eastAsia="宋体"/>
          <w:sz w:val="24"/>
          <w:u w:val="single"/>
        </w:rPr>
        <w:t>按当地档案部门规定。</w:t>
      </w:r>
    </w:p>
    <w:p>
      <w:pPr>
        <w:pStyle w:val="28"/>
        <w:spacing w:line="440" w:lineRule="exact"/>
        <w:ind w:firstLine="480" w:firstLineChars="200"/>
        <w:jc w:val="left"/>
        <w:rPr>
          <w:rFonts w:ascii="宋体" w:hAnsi="宋体" w:eastAsia="宋体"/>
          <w:sz w:val="24"/>
        </w:rPr>
      </w:pPr>
      <w:r>
        <w:rPr>
          <w:rFonts w:hint="eastAsia" w:ascii="宋体" w:hAnsi="宋体" w:eastAsia="宋体"/>
          <w:kern w:val="0"/>
          <w:sz w:val="24"/>
        </w:rPr>
        <w:t>承包人提交最终结算申请单的期限：</w:t>
      </w:r>
      <w:r>
        <w:rPr>
          <w:rFonts w:hint="eastAsia" w:ascii="宋体" w:hAnsi="宋体" w:eastAsia="宋体"/>
          <w:sz w:val="24"/>
          <w:u w:val="single"/>
        </w:rPr>
        <w:t>缺陷责任期终止证书签发后</w:t>
      </w:r>
      <w:r>
        <w:rPr>
          <w:rFonts w:ascii="宋体" w:hAnsi="宋体" w:eastAsia="宋体"/>
          <w:sz w:val="24"/>
          <w:u w:val="single"/>
        </w:rPr>
        <w:t>5天内</w:t>
      </w:r>
      <w:r>
        <w:rPr>
          <w:rFonts w:hint="eastAsia" w:ascii="宋体" w:hAnsi="宋体" w:eastAsia="宋体"/>
          <w:sz w:val="24"/>
        </w:rPr>
        <w:t>。</w:t>
      </w:r>
      <w:r>
        <w:rPr>
          <w:rFonts w:ascii="宋体" w:hAnsi="宋体" w:eastAsia="宋体"/>
          <w:sz w:val="24"/>
        </w:rPr>
        <w:t xml:space="preserve"> </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14.4.2 </w:t>
      </w:r>
      <w:r>
        <w:rPr>
          <w:rFonts w:hint="eastAsia" w:ascii="宋体" w:hAnsi="宋体" w:eastAsia="宋体"/>
          <w:sz w:val="24"/>
        </w:rPr>
        <w:t>最终结清证书和支付</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w:t>
      </w:r>
      <w:r>
        <w:rPr>
          <w:rFonts w:ascii="宋体" w:hAnsi="宋体" w:eastAsia="宋体"/>
          <w:sz w:val="24"/>
        </w:rPr>
        <w:t>1）发包人完成最终结清申请单的审批并颁发最终结清证书的期限：</w:t>
      </w:r>
      <w:r>
        <w:rPr>
          <w:rFonts w:hint="eastAsia" w:ascii="宋体" w:hAnsi="宋体" w:eastAsia="宋体"/>
          <w:sz w:val="24"/>
          <w:u w:val="single"/>
        </w:rPr>
        <w:t>按专用合同条款</w:t>
      </w:r>
      <w:r>
        <w:rPr>
          <w:rFonts w:ascii="宋体" w:hAnsi="宋体" w:eastAsia="宋体"/>
          <w:sz w:val="24"/>
          <w:u w:val="single"/>
        </w:rPr>
        <w:t>12.4.1条、15条</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w:t>
      </w:r>
      <w:r>
        <w:rPr>
          <w:rFonts w:ascii="宋体" w:hAnsi="宋体" w:eastAsia="宋体"/>
          <w:sz w:val="24"/>
        </w:rPr>
        <w:t>2）发包人完成支付的期限：</w:t>
      </w:r>
      <w:r>
        <w:rPr>
          <w:rFonts w:hint="eastAsia" w:ascii="宋体" w:hAnsi="宋体" w:eastAsia="宋体"/>
          <w:sz w:val="24"/>
          <w:u w:val="single"/>
        </w:rPr>
        <w:t>按专用合同条款</w:t>
      </w:r>
      <w:r>
        <w:rPr>
          <w:rFonts w:ascii="宋体" w:hAnsi="宋体" w:eastAsia="宋体"/>
          <w:sz w:val="24"/>
          <w:u w:val="single"/>
        </w:rPr>
        <w:t>12.4.1条、15条</w:t>
      </w:r>
      <w:r>
        <w:rPr>
          <w:rFonts w:hint="eastAsia" w:ascii="宋体" w:hAnsi="宋体" w:eastAsia="宋体"/>
          <w:sz w:val="24"/>
        </w:rPr>
        <w:t>。</w:t>
      </w:r>
    </w:p>
    <w:p>
      <w:pPr>
        <w:pStyle w:val="28"/>
        <w:spacing w:line="440" w:lineRule="exact"/>
        <w:jc w:val="left"/>
        <w:outlineLvl w:val="1"/>
        <w:rPr>
          <w:rFonts w:ascii="宋体" w:hAnsi="宋体" w:eastAsia="宋体"/>
          <w:kern w:val="0"/>
          <w:sz w:val="24"/>
        </w:rPr>
      </w:pPr>
      <w:bookmarkStart w:id="259" w:name="_Toc30616"/>
      <w:r>
        <w:rPr>
          <w:rFonts w:ascii="宋体" w:hAnsi="宋体" w:eastAsia="宋体"/>
          <w:kern w:val="0"/>
          <w:sz w:val="24"/>
        </w:rPr>
        <w:t xml:space="preserve">15. </w:t>
      </w:r>
      <w:r>
        <w:rPr>
          <w:rFonts w:hint="eastAsia" w:ascii="宋体" w:hAnsi="宋体" w:eastAsia="宋体"/>
          <w:kern w:val="0"/>
          <w:sz w:val="24"/>
        </w:rPr>
        <w:t>缺陷责任期与保修</w:t>
      </w:r>
      <w:bookmarkEnd w:id="259"/>
    </w:p>
    <w:p>
      <w:pPr>
        <w:pStyle w:val="28"/>
        <w:spacing w:line="440" w:lineRule="exact"/>
        <w:ind w:firstLine="480" w:firstLineChars="200"/>
        <w:rPr>
          <w:rFonts w:ascii="宋体" w:hAnsi="宋体" w:eastAsia="宋体"/>
          <w:sz w:val="24"/>
        </w:rPr>
      </w:pPr>
      <w:r>
        <w:rPr>
          <w:rFonts w:ascii="宋体" w:hAnsi="宋体" w:eastAsia="宋体"/>
          <w:sz w:val="24"/>
        </w:rPr>
        <w:t>15.2缺陷责任期</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缺陷责任期的具体期限：</w:t>
      </w:r>
      <w:r>
        <w:rPr>
          <w:rFonts w:hint="eastAsia" w:ascii="宋体" w:hAnsi="宋体" w:eastAsia="宋体"/>
          <w:sz w:val="24"/>
          <w:u w:val="single"/>
        </w:rPr>
        <w:t>自工程通过竣工验收之日后</w:t>
      </w:r>
      <w:r>
        <w:rPr>
          <w:rFonts w:ascii="宋体" w:hAnsi="宋体" w:eastAsia="宋体"/>
          <w:sz w:val="24"/>
          <w:u w:val="single"/>
        </w:rPr>
        <w:t>12</w:t>
      </w:r>
      <w:r>
        <w:rPr>
          <w:rFonts w:hint="eastAsia" w:ascii="宋体" w:hAnsi="宋体" w:eastAsia="宋体"/>
          <w:sz w:val="24"/>
          <w:u w:val="single"/>
        </w:rPr>
        <w:t>个月</w:t>
      </w:r>
      <w:r>
        <w:rPr>
          <w:rFonts w:hint="eastAsia" w:ascii="宋体" w:hAnsi="宋体" w:eastAsia="宋体"/>
          <w:sz w:val="24"/>
        </w:rPr>
        <w:t>。</w:t>
      </w:r>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 xml:space="preserve">15.3 </w:t>
      </w:r>
      <w:r>
        <w:rPr>
          <w:rFonts w:hint="eastAsia" w:ascii="宋体" w:hAnsi="宋体" w:eastAsia="宋体"/>
          <w:kern w:val="0"/>
          <w:sz w:val="24"/>
        </w:rPr>
        <w:t>质量保证金</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关于是否扣留质量保证金的约定：</w:t>
      </w:r>
      <w:r>
        <w:rPr>
          <w:rFonts w:hint="eastAsia" w:ascii="宋体" w:hAnsi="宋体" w:eastAsia="宋体"/>
          <w:sz w:val="24"/>
          <w:u w:val="single"/>
        </w:rPr>
        <w:t>质量保证金为工程审定结算价的</w:t>
      </w:r>
      <w:r>
        <w:rPr>
          <w:rFonts w:ascii="宋体" w:hAnsi="宋体" w:eastAsia="宋体"/>
          <w:sz w:val="24"/>
          <w:u w:val="single"/>
        </w:rPr>
        <w:t>3%</w:t>
      </w:r>
      <w:r>
        <w:rPr>
          <w:rFonts w:hint="eastAsia" w:ascii="宋体" w:hAnsi="宋体" w:eastAsia="宋体"/>
          <w:sz w:val="24"/>
        </w:rPr>
        <w:t>。在工程项目竣工前，承包人按专用合同条款第</w:t>
      </w:r>
      <w:r>
        <w:rPr>
          <w:rFonts w:ascii="宋体" w:hAnsi="宋体" w:eastAsia="宋体"/>
          <w:sz w:val="24"/>
        </w:rPr>
        <w:t>3.7条提供履约担保的，发包人不得同时预留工程质量保证金。</w:t>
      </w:r>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 xml:space="preserve">15.3.1 </w:t>
      </w:r>
      <w:r>
        <w:rPr>
          <w:rFonts w:hint="eastAsia" w:ascii="宋体" w:hAnsi="宋体" w:eastAsia="宋体"/>
          <w:kern w:val="0"/>
          <w:sz w:val="24"/>
        </w:rPr>
        <w:t>承包人提供质量保证金的方式</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质量保证金采用以下第</w:t>
      </w:r>
      <w:r>
        <w:rPr>
          <w:rFonts w:ascii="宋体" w:hAnsi="宋体" w:eastAsia="宋体"/>
          <w:sz w:val="24"/>
          <w:u w:val="single"/>
        </w:rPr>
        <w:t xml:space="preserve"> 3 </w:t>
      </w:r>
      <w:r>
        <w:rPr>
          <w:rFonts w:hint="eastAsia" w:ascii="宋体" w:hAnsi="宋体" w:eastAsia="宋体"/>
          <w:sz w:val="24"/>
        </w:rPr>
        <w:t>种方式：</w:t>
      </w:r>
    </w:p>
    <w:p>
      <w:pPr>
        <w:pStyle w:val="28"/>
        <w:autoSpaceDE w:val="0"/>
        <w:autoSpaceDN w:val="0"/>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1）质量保证金保函，保证金额为：</w:t>
      </w:r>
      <w:r>
        <w:rPr>
          <w:rFonts w:ascii="宋体" w:hAnsi="宋体" w:eastAsia="宋体"/>
          <w:kern w:val="0"/>
          <w:sz w:val="24"/>
          <w:u w:val="single"/>
        </w:rPr>
        <w:t xml:space="preserve"> / </w:t>
      </w:r>
      <w:r>
        <w:rPr>
          <w:rFonts w:hint="eastAsia" w:ascii="宋体" w:hAnsi="宋体" w:eastAsia="宋体"/>
          <w:kern w:val="0"/>
          <w:sz w:val="24"/>
        </w:rPr>
        <w:t>；</w:t>
      </w:r>
      <w:r>
        <w:rPr>
          <w:rFonts w:ascii="宋体" w:hAnsi="宋体" w:eastAsia="宋体"/>
          <w:kern w:val="0"/>
          <w:sz w:val="24"/>
        </w:rPr>
        <w:t xml:space="preserve"> </w:t>
      </w:r>
    </w:p>
    <w:p>
      <w:pPr>
        <w:pStyle w:val="28"/>
        <w:autoSpaceDE w:val="0"/>
        <w:autoSpaceDN w:val="0"/>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2）</w:t>
      </w:r>
      <w:r>
        <w:rPr>
          <w:rFonts w:ascii="宋体" w:hAnsi="宋体" w:eastAsia="宋体"/>
          <w:kern w:val="0"/>
          <w:sz w:val="24"/>
          <w:u w:val="single"/>
        </w:rPr>
        <w:t xml:space="preserve"> / </w:t>
      </w:r>
      <w:r>
        <w:rPr>
          <w:rFonts w:ascii="宋体" w:hAnsi="宋体" w:eastAsia="宋体"/>
          <w:kern w:val="0"/>
          <w:sz w:val="24"/>
        </w:rPr>
        <w:t>%的工程款；</w:t>
      </w:r>
    </w:p>
    <w:p>
      <w:pPr>
        <w:pStyle w:val="28"/>
        <w:autoSpaceDE w:val="0"/>
        <w:autoSpaceDN w:val="0"/>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3）其他方式:</w:t>
      </w:r>
      <w:r>
        <w:rPr>
          <w:rFonts w:ascii="宋体" w:hAnsi="宋体" w:eastAsia="宋体"/>
          <w:kern w:val="0"/>
          <w:sz w:val="24"/>
          <w:u w:val="single"/>
        </w:rPr>
        <w:t xml:space="preserve"> 工程审定结算价款总价的3%  </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 xml:space="preserve">15.3.2 </w:t>
      </w:r>
      <w:r>
        <w:rPr>
          <w:rFonts w:hint="eastAsia" w:ascii="宋体" w:hAnsi="宋体" w:eastAsia="宋体"/>
          <w:kern w:val="0"/>
          <w:sz w:val="24"/>
        </w:rPr>
        <w:t>质量保证金的扣留</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质量保证金的扣留采取以下第</w:t>
      </w:r>
      <w:r>
        <w:rPr>
          <w:rFonts w:ascii="宋体" w:hAnsi="宋体" w:eastAsia="宋体"/>
          <w:sz w:val="24"/>
          <w:u w:val="single"/>
        </w:rPr>
        <w:t xml:space="preserve"> 2 </w:t>
      </w:r>
      <w:r>
        <w:rPr>
          <w:rFonts w:hint="eastAsia" w:ascii="宋体" w:hAnsi="宋体" w:eastAsia="宋体"/>
          <w:sz w:val="24"/>
        </w:rPr>
        <w:t>种方式：</w:t>
      </w:r>
    </w:p>
    <w:p>
      <w:pPr>
        <w:pStyle w:val="28"/>
        <w:autoSpaceDE w:val="0"/>
        <w:autoSpaceDN w:val="0"/>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1）在支付工程进度款时逐次扣留，在此情形下，质量保证金的计算基数不包括预付款的支付、扣回以及价格调整的金额；</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2）工程竣工结算时一次性扣留质量保证金；</w:t>
      </w:r>
    </w:p>
    <w:p>
      <w:pPr>
        <w:pStyle w:val="28"/>
        <w:autoSpaceDE w:val="0"/>
        <w:autoSpaceDN w:val="0"/>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3）其他扣留方式:</w:t>
      </w:r>
      <w:r>
        <w:rPr>
          <w:rFonts w:ascii="宋体" w:hAnsi="宋体" w:eastAsia="宋体"/>
          <w:kern w:val="0"/>
          <w:sz w:val="24"/>
          <w:u w:val="single"/>
        </w:rPr>
        <w:t xml:space="preserve"> / </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关于质量保证金的补充约定：</w:t>
      </w:r>
      <w:r>
        <w:rPr>
          <w:rFonts w:hint="eastAsia" w:ascii="宋体" w:hAnsi="宋体" w:eastAsia="宋体"/>
          <w:kern w:val="0"/>
          <w:sz w:val="24"/>
          <w:u w:val="single"/>
        </w:rPr>
        <w:t>在保修期间，承包人应按规定履行质量保修义务，否则没收其工程质量保证金并按合同规定追加处罚。承包人未能在规定时间内派人保修的，发包人可自行或委托第三方保修</w:t>
      </w:r>
      <w:r>
        <w:rPr>
          <w:rFonts w:ascii="宋体" w:hAnsi="宋体" w:eastAsia="宋体"/>
          <w:kern w:val="0"/>
          <w:sz w:val="24"/>
          <w:u w:val="single"/>
        </w:rPr>
        <w:t>,所需费用从质量保证金中扣除支付，若质量保证金不足以扣除的，发包人应向承包人追缴差额。若在规定期限内未收到承包人补缴的差额，发包人有权通过相关法律程序进行申诉。在本工程12</w:t>
      </w:r>
      <w:r>
        <w:rPr>
          <w:rFonts w:hint="eastAsia" w:ascii="宋体" w:hAnsi="宋体" w:eastAsia="宋体"/>
          <w:kern w:val="0"/>
          <w:sz w:val="24"/>
          <w:u w:val="single"/>
        </w:rPr>
        <w:t>个月缺陷责任期（保修期请参见后附的《工程质量保修书》）满后的</w:t>
      </w:r>
      <w:r>
        <w:rPr>
          <w:rFonts w:ascii="宋体" w:hAnsi="宋体" w:eastAsia="宋体"/>
          <w:kern w:val="0"/>
          <w:sz w:val="24"/>
          <w:u w:val="single"/>
        </w:rPr>
        <w:t>30天内，发包人应将剩余的质量保证金返还给承包人，质量保证金的返还不影响承包人</w:t>
      </w:r>
      <w:r>
        <w:rPr>
          <w:rFonts w:hint="eastAsia" w:ascii="宋体" w:hAnsi="宋体" w:eastAsia="宋体"/>
          <w:kern w:val="0"/>
          <w:sz w:val="24"/>
          <w:u w:val="single"/>
        </w:rPr>
        <w:t>对本工程履行质量保修的义务</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15.3.3质量保证金的退还</w:t>
      </w:r>
    </w:p>
    <w:p>
      <w:pPr>
        <w:pStyle w:val="28"/>
        <w:spacing w:line="440" w:lineRule="exact"/>
        <w:ind w:firstLine="480" w:firstLineChars="200"/>
        <w:jc w:val="left"/>
        <w:rPr>
          <w:rFonts w:ascii="宋体" w:hAnsi="宋体" w:eastAsia="宋体"/>
          <w:sz w:val="24"/>
          <w:u w:val="single"/>
        </w:rPr>
      </w:pPr>
      <w:r>
        <w:rPr>
          <w:rFonts w:hint="eastAsia" w:ascii="宋体" w:hAnsi="宋体" w:eastAsia="宋体"/>
          <w:sz w:val="24"/>
          <w:u w:val="single"/>
        </w:rPr>
        <w:t>缺陷责任期内，承包人认真履行合同约定的责任，自工程通过竣工验收之日起计</w:t>
      </w:r>
      <w:r>
        <w:rPr>
          <w:rFonts w:ascii="宋体" w:hAnsi="宋体" w:eastAsia="宋体"/>
          <w:sz w:val="24"/>
          <w:u w:val="single"/>
        </w:rPr>
        <w:t>12</w:t>
      </w:r>
      <w:r>
        <w:rPr>
          <w:rFonts w:hint="eastAsia" w:ascii="宋体" w:hAnsi="宋体" w:eastAsia="宋体"/>
          <w:sz w:val="24"/>
          <w:u w:val="single"/>
        </w:rPr>
        <w:t>个月后，承包人可向发包人申请返还保证金。</w:t>
      </w:r>
    </w:p>
    <w:p>
      <w:pPr>
        <w:pStyle w:val="28"/>
        <w:spacing w:line="440" w:lineRule="exact"/>
        <w:ind w:firstLine="480" w:firstLineChars="200"/>
        <w:rPr>
          <w:rFonts w:ascii="宋体" w:hAnsi="宋体" w:eastAsia="宋体"/>
          <w:sz w:val="24"/>
        </w:rPr>
      </w:pPr>
      <w:r>
        <w:rPr>
          <w:rFonts w:hint="eastAsia" w:ascii="宋体" w:hAnsi="宋体" w:eastAsia="宋体"/>
          <w:sz w:val="24"/>
          <w:u w:val="single"/>
        </w:rPr>
        <w:t>发包人在接到承包人返还保证金申请后，工程无任何结余问题，发包人于</w:t>
      </w:r>
      <w:r>
        <w:rPr>
          <w:rFonts w:ascii="宋体" w:hAnsi="宋体" w:eastAsia="宋体"/>
          <w:sz w:val="24"/>
          <w:u w:val="single"/>
        </w:rPr>
        <w:t>30天内会同承包人按照合同约定的内容进行核实。如无异议，发包人按照约定不计利息，一次性将保证金返还给承包人。支付时扣除应扣款项。</w:t>
      </w:r>
    </w:p>
    <w:p>
      <w:pPr>
        <w:pStyle w:val="28"/>
        <w:spacing w:line="440" w:lineRule="exact"/>
        <w:ind w:firstLine="480" w:firstLineChars="200"/>
        <w:rPr>
          <w:rFonts w:ascii="宋体" w:hAnsi="宋体" w:eastAsia="宋体"/>
          <w:sz w:val="24"/>
        </w:rPr>
      </w:pPr>
      <w:r>
        <w:rPr>
          <w:rFonts w:ascii="宋体" w:hAnsi="宋体" w:eastAsia="宋体"/>
          <w:sz w:val="24"/>
        </w:rPr>
        <w:t>15.4保修</w:t>
      </w:r>
    </w:p>
    <w:p>
      <w:pPr>
        <w:pStyle w:val="28"/>
        <w:spacing w:line="440" w:lineRule="exact"/>
        <w:ind w:firstLine="468" w:firstLineChars="195"/>
        <w:jc w:val="left"/>
        <w:rPr>
          <w:rFonts w:ascii="宋体" w:hAnsi="宋体" w:eastAsia="宋体"/>
          <w:sz w:val="24"/>
        </w:rPr>
      </w:pPr>
      <w:r>
        <w:rPr>
          <w:rFonts w:ascii="宋体" w:hAnsi="宋体" w:eastAsia="宋体"/>
          <w:sz w:val="24"/>
        </w:rPr>
        <w:t xml:space="preserve">15.4.1 </w:t>
      </w:r>
      <w:r>
        <w:rPr>
          <w:rFonts w:hint="eastAsia" w:ascii="宋体" w:hAnsi="宋体" w:eastAsia="宋体"/>
          <w:sz w:val="24"/>
        </w:rPr>
        <w:t>保修责任</w:t>
      </w:r>
    </w:p>
    <w:p>
      <w:pPr>
        <w:pStyle w:val="28"/>
        <w:spacing w:line="440" w:lineRule="exact"/>
        <w:ind w:firstLine="480" w:firstLineChars="200"/>
        <w:jc w:val="left"/>
        <w:rPr>
          <w:rFonts w:ascii="宋体" w:hAnsi="宋体" w:eastAsia="宋体"/>
          <w:kern w:val="0"/>
          <w:sz w:val="24"/>
        </w:rPr>
      </w:pPr>
      <w:r>
        <w:rPr>
          <w:rFonts w:hint="eastAsia" w:ascii="宋体" w:hAnsi="宋体" w:eastAsia="宋体"/>
          <w:sz w:val="24"/>
        </w:rPr>
        <w:t>工程保修期为：</w:t>
      </w:r>
      <w:r>
        <w:rPr>
          <w:rFonts w:hint="eastAsia" w:ascii="宋体" w:hAnsi="宋体" w:eastAsia="宋体"/>
          <w:sz w:val="24"/>
          <w:u w:val="single"/>
        </w:rPr>
        <w:t>双方根据国家《建设工程质量管理条例》及国家、地方规范标准有关规定，结合具体工程约定质量保修期按工程质量保修书规定执行</w:t>
      </w:r>
      <w:r>
        <w:rPr>
          <w:rFonts w:hint="eastAsia" w:ascii="宋体" w:hAnsi="宋体" w:eastAsia="宋体"/>
          <w:kern w:val="0"/>
          <w:sz w:val="24"/>
        </w:rPr>
        <w:t>。</w:t>
      </w:r>
    </w:p>
    <w:p>
      <w:pPr>
        <w:pStyle w:val="28"/>
        <w:spacing w:line="440" w:lineRule="exact"/>
        <w:ind w:firstLine="468" w:firstLineChars="195"/>
        <w:jc w:val="left"/>
        <w:rPr>
          <w:rFonts w:ascii="宋体" w:hAnsi="宋体" w:eastAsia="宋体"/>
          <w:sz w:val="24"/>
        </w:rPr>
      </w:pPr>
      <w:r>
        <w:rPr>
          <w:rFonts w:ascii="宋体" w:hAnsi="宋体" w:eastAsia="宋体"/>
          <w:sz w:val="24"/>
        </w:rPr>
        <w:t xml:space="preserve">15.4.3 </w:t>
      </w:r>
      <w:r>
        <w:rPr>
          <w:rFonts w:hint="eastAsia" w:ascii="宋体" w:hAnsi="宋体" w:eastAsia="宋体"/>
          <w:sz w:val="24"/>
        </w:rPr>
        <w:t>修复通知</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承包人收到保修通知并到达工程现场的合理时间：</w:t>
      </w:r>
      <w:r>
        <w:rPr>
          <w:rFonts w:hint="eastAsia" w:ascii="宋体" w:hAnsi="宋体" w:eastAsia="宋体"/>
          <w:kern w:val="0"/>
          <w:sz w:val="24"/>
          <w:u w:val="single"/>
        </w:rPr>
        <w:t>按工程质量保修书规定执行</w:t>
      </w:r>
      <w:r>
        <w:rPr>
          <w:rFonts w:hint="eastAsia" w:ascii="宋体" w:hAnsi="宋体" w:eastAsia="宋体"/>
          <w:kern w:val="0"/>
          <w:sz w:val="24"/>
        </w:rPr>
        <w:t>。</w:t>
      </w:r>
    </w:p>
    <w:p>
      <w:pPr>
        <w:pStyle w:val="28"/>
        <w:spacing w:line="440" w:lineRule="exact"/>
        <w:jc w:val="left"/>
        <w:outlineLvl w:val="1"/>
        <w:rPr>
          <w:rFonts w:ascii="宋体" w:hAnsi="宋体" w:eastAsia="宋体"/>
          <w:kern w:val="0"/>
          <w:sz w:val="24"/>
        </w:rPr>
      </w:pPr>
      <w:bookmarkStart w:id="260" w:name="_Toc27279"/>
      <w:r>
        <w:rPr>
          <w:rFonts w:ascii="宋体" w:hAnsi="宋体" w:eastAsia="宋体"/>
          <w:kern w:val="0"/>
          <w:sz w:val="24"/>
        </w:rPr>
        <w:t xml:space="preserve">16. </w:t>
      </w:r>
      <w:r>
        <w:rPr>
          <w:rFonts w:hint="eastAsia" w:ascii="宋体" w:hAnsi="宋体" w:eastAsia="宋体"/>
          <w:kern w:val="0"/>
          <w:sz w:val="24"/>
        </w:rPr>
        <w:t>违约</w:t>
      </w:r>
      <w:bookmarkEnd w:id="260"/>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 xml:space="preserve">16.1 </w:t>
      </w:r>
      <w:r>
        <w:rPr>
          <w:rFonts w:hint="eastAsia" w:ascii="宋体" w:hAnsi="宋体" w:eastAsia="宋体"/>
          <w:kern w:val="0"/>
          <w:sz w:val="24"/>
        </w:rPr>
        <w:t>发包人违约</w:t>
      </w:r>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16.1.1发包人违约的情形</w:t>
      </w:r>
    </w:p>
    <w:p>
      <w:pPr>
        <w:pStyle w:val="28"/>
        <w:spacing w:line="440" w:lineRule="exact"/>
        <w:ind w:left="720" w:hanging="720" w:hangingChars="300"/>
        <w:jc w:val="left"/>
        <w:rPr>
          <w:rFonts w:ascii="宋体" w:hAnsi="宋体" w:eastAsia="宋体"/>
          <w:kern w:val="0"/>
          <w:sz w:val="24"/>
        </w:rPr>
      </w:pPr>
      <w:r>
        <w:rPr>
          <w:rFonts w:hint="eastAsia" w:ascii="宋体" w:hAnsi="宋体" w:eastAsia="宋体"/>
          <w:kern w:val="0"/>
          <w:sz w:val="24"/>
        </w:rPr>
        <w:t>发包人违约的其他情形：</w:t>
      </w:r>
      <w:r>
        <w:rPr>
          <w:rFonts w:ascii="宋体" w:hAnsi="宋体" w:eastAsia="宋体"/>
          <w:kern w:val="0"/>
          <w:sz w:val="24"/>
          <w:u w:val="single"/>
        </w:rPr>
        <w:t xml:space="preserve"> / </w:t>
      </w:r>
      <w:r>
        <w:rPr>
          <w:rFonts w:hint="eastAsia" w:ascii="宋体" w:hAnsi="宋体" w:eastAsia="宋体"/>
          <w:kern w:val="0"/>
          <w:sz w:val="24"/>
        </w:rPr>
        <w:t>。</w:t>
      </w:r>
    </w:p>
    <w:p>
      <w:pPr>
        <w:pStyle w:val="28"/>
        <w:spacing w:line="440" w:lineRule="exact"/>
        <w:ind w:left="1200" w:hanging="1200" w:hangingChars="500"/>
        <w:jc w:val="left"/>
        <w:rPr>
          <w:rFonts w:ascii="宋体" w:hAnsi="宋体" w:eastAsia="宋体"/>
          <w:kern w:val="0"/>
          <w:sz w:val="24"/>
        </w:rPr>
      </w:pPr>
      <w:r>
        <w:rPr>
          <w:rFonts w:ascii="宋体" w:hAnsi="宋体" w:eastAsia="宋体"/>
          <w:kern w:val="0"/>
          <w:sz w:val="24"/>
        </w:rPr>
        <w:t xml:space="preserve">    16.1.2 发包人违约的责任</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发包人违约责任的承担方式和计算方法：</w:t>
      </w:r>
    </w:p>
    <w:p>
      <w:pPr>
        <w:pStyle w:val="28"/>
        <w:spacing w:line="440" w:lineRule="exact"/>
        <w:ind w:firstLine="480" w:firstLineChars="200"/>
        <w:jc w:val="left"/>
        <w:rPr>
          <w:rFonts w:ascii="宋体" w:hAnsi="宋体" w:eastAsia="宋体"/>
          <w:kern w:val="0"/>
          <w:sz w:val="24"/>
          <w:u w:val="single"/>
        </w:rPr>
      </w:pPr>
      <w:r>
        <w:rPr>
          <w:rFonts w:hint="eastAsia" w:ascii="宋体" w:hAnsi="宋体" w:eastAsia="宋体"/>
          <w:kern w:val="0"/>
          <w:sz w:val="24"/>
        </w:rPr>
        <w:t>（</w:t>
      </w:r>
      <w:r>
        <w:rPr>
          <w:rFonts w:ascii="宋体" w:hAnsi="宋体" w:eastAsia="宋体"/>
          <w:kern w:val="0"/>
          <w:sz w:val="24"/>
        </w:rPr>
        <w:t>1）因发包人原因未能在计划开工日期前7天内下达开工通知的违约责任：</w:t>
      </w:r>
      <w:r>
        <w:rPr>
          <w:rFonts w:hint="eastAsia" w:ascii="宋体" w:hAnsi="宋体" w:eastAsia="宋体"/>
          <w:kern w:val="0"/>
          <w:sz w:val="24"/>
          <w:u w:val="single"/>
        </w:rPr>
        <w:t>工期顺延，但不作补偿</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2）因发包人原因未能按合同约定支付合同价款的违约责任：</w:t>
      </w:r>
      <w:r>
        <w:rPr>
          <w:rFonts w:hint="eastAsia" w:ascii="宋体" w:hAnsi="宋体" w:eastAsia="宋体"/>
          <w:kern w:val="0"/>
          <w:sz w:val="24"/>
          <w:u w:val="single"/>
        </w:rPr>
        <w:t>双方协商解决</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3）发包人违反第10.1款〔变更的范围〕第（2）项约定，自行实施被取消的工作或转由他人实施的违约责任：</w:t>
      </w:r>
      <w:r>
        <w:rPr>
          <w:rFonts w:hint="eastAsia" w:ascii="宋体" w:hAnsi="宋体" w:eastAsia="宋体"/>
          <w:kern w:val="0"/>
          <w:sz w:val="24"/>
          <w:u w:val="single"/>
        </w:rPr>
        <w:t>在项目实施过程中，发包人有可能根据项目的实际情况进行调整，或因国家政策调整或城市建设需要使项目不能继续开展下去，发包人有权对项目进行调整，承包人必须无条件服从，并按本工程要求组织实施</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4）发包人提供的材料、工程设备的规格、数量或质量不符合合同约定，或因发包人原因导致交货日期延误或交货地点变更等情况的违约责任：</w:t>
      </w:r>
      <w:r>
        <w:rPr>
          <w:rFonts w:ascii="宋体" w:hAnsi="宋体" w:eastAsia="宋体"/>
          <w:kern w:val="0"/>
          <w:sz w:val="24"/>
          <w:u w:val="single"/>
        </w:rPr>
        <w:t xml:space="preserve"> / </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5）因发包人违反合同约定造成暂停施工的违约责任：</w:t>
      </w:r>
      <w:r>
        <w:rPr>
          <w:rFonts w:hint="eastAsia" w:ascii="宋体" w:hAnsi="宋体" w:eastAsia="宋体"/>
          <w:kern w:val="0"/>
          <w:sz w:val="24"/>
          <w:u w:val="single"/>
        </w:rPr>
        <w:t>办理工期可顺延，但不作补偿</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6）发包人无正当理由没有在约定期限内发出复工指示，导致承包人无法复工的违约责任：</w:t>
      </w:r>
      <w:r>
        <w:rPr>
          <w:rFonts w:hint="eastAsia" w:ascii="宋体" w:hAnsi="宋体" w:eastAsia="宋体"/>
          <w:kern w:val="0"/>
          <w:sz w:val="24"/>
          <w:u w:val="single"/>
        </w:rPr>
        <w:t>工期顺延，但不作补偿</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w:t>
      </w:r>
      <w:r>
        <w:rPr>
          <w:rFonts w:ascii="宋体" w:hAnsi="宋体" w:eastAsia="宋体"/>
          <w:kern w:val="0"/>
          <w:sz w:val="24"/>
        </w:rPr>
        <w:t>7）其他：</w:t>
      </w:r>
      <w:r>
        <w:rPr>
          <w:rFonts w:ascii="宋体" w:hAnsi="宋体" w:eastAsia="宋体"/>
          <w:kern w:val="0"/>
          <w:sz w:val="24"/>
          <w:u w:val="single"/>
        </w:rPr>
        <w:t xml:space="preserve"> /  </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16.1.3 </w:t>
      </w:r>
      <w:r>
        <w:rPr>
          <w:rFonts w:hint="eastAsia" w:ascii="宋体" w:hAnsi="宋体" w:eastAsia="宋体"/>
          <w:sz w:val="24"/>
        </w:rPr>
        <w:t>因发包人违约解除合同</w:t>
      </w:r>
    </w:p>
    <w:p>
      <w:pPr>
        <w:pStyle w:val="28"/>
        <w:autoSpaceDE w:val="0"/>
        <w:autoSpaceDN w:val="0"/>
        <w:spacing w:line="440" w:lineRule="exact"/>
        <w:ind w:firstLine="480" w:firstLineChars="200"/>
        <w:jc w:val="left"/>
        <w:rPr>
          <w:rFonts w:ascii="宋体" w:hAnsi="宋体" w:eastAsia="宋体"/>
          <w:kern w:val="0"/>
          <w:sz w:val="24"/>
        </w:rPr>
      </w:pPr>
      <w:r>
        <w:rPr>
          <w:rFonts w:hint="eastAsia" w:ascii="宋体" w:hAnsi="宋体" w:eastAsia="宋体"/>
          <w:kern w:val="0"/>
          <w:sz w:val="24"/>
        </w:rPr>
        <w:t>承包人按</w:t>
      </w:r>
      <w:r>
        <w:rPr>
          <w:rFonts w:ascii="宋体" w:hAnsi="宋体" w:eastAsia="宋体"/>
          <w:kern w:val="0"/>
          <w:sz w:val="24"/>
        </w:rPr>
        <w:t>16.1.1项〔发包人违约的情形〕约定暂停施工满</w:t>
      </w:r>
      <w:r>
        <w:rPr>
          <w:rFonts w:ascii="宋体" w:hAnsi="宋体" w:eastAsia="宋体"/>
          <w:kern w:val="0"/>
          <w:sz w:val="24"/>
          <w:u w:val="single"/>
        </w:rPr>
        <w:t xml:space="preserve"> 28 </w:t>
      </w:r>
      <w:r>
        <w:rPr>
          <w:rFonts w:hint="eastAsia" w:ascii="宋体" w:hAnsi="宋体" w:eastAsia="宋体"/>
          <w:kern w:val="0"/>
          <w:sz w:val="24"/>
        </w:rPr>
        <w:t>天后发包人仍不纠正其违约行为并致使合同目的不能实现的，承包人有权解除合同。</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16.2 </w:t>
      </w:r>
      <w:r>
        <w:rPr>
          <w:rFonts w:hint="eastAsia" w:ascii="宋体" w:hAnsi="宋体" w:eastAsia="宋体"/>
          <w:sz w:val="24"/>
        </w:rPr>
        <w:t>承包人违约</w:t>
      </w:r>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 xml:space="preserve">16.2.1 </w:t>
      </w:r>
      <w:r>
        <w:rPr>
          <w:rFonts w:hint="eastAsia" w:ascii="宋体" w:hAnsi="宋体" w:eastAsia="宋体"/>
          <w:kern w:val="0"/>
          <w:sz w:val="24"/>
        </w:rPr>
        <w:t>承包人违约的情形</w:t>
      </w:r>
    </w:p>
    <w:p>
      <w:pPr>
        <w:pStyle w:val="28"/>
        <w:spacing w:line="440" w:lineRule="exact"/>
        <w:ind w:firstLine="480" w:firstLineChars="200"/>
        <w:jc w:val="left"/>
        <w:rPr>
          <w:rFonts w:ascii="宋体" w:hAnsi="宋体" w:eastAsia="宋体"/>
          <w:kern w:val="0"/>
          <w:sz w:val="24"/>
        </w:rPr>
      </w:pPr>
      <w:r>
        <w:rPr>
          <w:rFonts w:hint="eastAsia" w:ascii="宋体" w:hAnsi="宋体" w:eastAsia="宋体"/>
          <w:kern w:val="0"/>
          <w:sz w:val="24"/>
        </w:rPr>
        <w:t>承包人违约的其他情形：</w:t>
      </w:r>
      <w:r>
        <w:rPr>
          <w:rFonts w:hint="eastAsia" w:ascii="宋体" w:hAnsi="宋体" w:eastAsia="宋体"/>
          <w:kern w:val="0"/>
          <w:sz w:val="24"/>
          <w:u w:val="single"/>
        </w:rPr>
        <w:t>按本合同条款第</w:t>
      </w:r>
      <w:r>
        <w:rPr>
          <w:rFonts w:ascii="宋体" w:hAnsi="宋体" w:eastAsia="宋体"/>
          <w:kern w:val="0"/>
          <w:sz w:val="24"/>
          <w:u w:val="single"/>
        </w:rPr>
        <w:t>3.1条第（10）项条款、第21条其他条款</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kern w:val="0"/>
          <w:sz w:val="24"/>
        </w:rPr>
      </w:pPr>
      <w:r>
        <w:rPr>
          <w:rFonts w:ascii="宋体" w:hAnsi="宋体" w:eastAsia="宋体"/>
          <w:kern w:val="0"/>
          <w:sz w:val="24"/>
        </w:rPr>
        <w:t>16.2.2承包人违约的责任</w:t>
      </w:r>
    </w:p>
    <w:p>
      <w:pPr>
        <w:pStyle w:val="28"/>
        <w:spacing w:line="440" w:lineRule="exact"/>
        <w:ind w:left="720" w:hanging="720" w:hangingChars="300"/>
        <w:jc w:val="left"/>
        <w:rPr>
          <w:rFonts w:ascii="宋体" w:hAnsi="宋体" w:eastAsia="宋体"/>
          <w:kern w:val="0"/>
          <w:sz w:val="24"/>
          <w:u w:val="single"/>
        </w:rPr>
      </w:pPr>
      <w:r>
        <w:rPr>
          <w:rFonts w:hint="eastAsia" w:ascii="宋体" w:hAnsi="宋体" w:eastAsia="宋体"/>
          <w:kern w:val="0"/>
          <w:sz w:val="24"/>
        </w:rPr>
        <w:t>承包人违约责任的承担方式和计算方法：</w:t>
      </w:r>
      <w:r>
        <w:rPr>
          <w:rFonts w:hint="eastAsia" w:ascii="宋体" w:hAnsi="宋体" w:eastAsia="宋体"/>
          <w:kern w:val="0"/>
          <w:sz w:val="24"/>
          <w:u w:val="single"/>
        </w:rPr>
        <w:t>按本合同条款第</w:t>
      </w:r>
      <w:r>
        <w:rPr>
          <w:rFonts w:ascii="宋体" w:hAnsi="宋体" w:eastAsia="宋体"/>
          <w:kern w:val="0"/>
          <w:sz w:val="24"/>
          <w:u w:val="single"/>
        </w:rPr>
        <w:t>21条其他条款</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16.2.3 </w:t>
      </w:r>
      <w:r>
        <w:rPr>
          <w:rFonts w:hint="eastAsia" w:ascii="宋体" w:hAnsi="宋体" w:eastAsia="宋体"/>
          <w:sz w:val="24"/>
        </w:rPr>
        <w:t>因承包人违约解除合同</w:t>
      </w:r>
    </w:p>
    <w:p>
      <w:pPr>
        <w:pStyle w:val="28"/>
        <w:spacing w:line="440" w:lineRule="exact"/>
        <w:ind w:firstLine="480" w:firstLineChars="200"/>
        <w:rPr>
          <w:rFonts w:ascii="宋体" w:hAnsi="宋体" w:eastAsia="宋体"/>
          <w:kern w:val="0"/>
          <w:sz w:val="24"/>
        </w:rPr>
      </w:pPr>
      <w:r>
        <w:rPr>
          <w:rFonts w:hint="eastAsia" w:ascii="宋体" w:hAnsi="宋体" w:eastAsia="宋体"/>
          <w:kern w:val="0"/>
          <w:sz w:val="24"/>
        </w:rPr>
        <w:t>关于承包人违约解除合同的特别约定</w:t>
      </w:r>
      <w:r>
        <w:rPr>
          <w:rFonts w:hint="eastAsia" w:ascii="宋体" w:hAnsi="宋体" w:eastAsia="宋体"/>
          <w:sz w:val="24"/>
          <w:u w:val="single"/>
        </w:rPr>
        <w:t>按本合同条款第</w:t>
      </w:r>
      <w:r>
        <w:rPr>
          <w:rFonts w:ascii="宋体" w:hAnsi="宋体" w:eastAsia="宋体"/>
          <w:sz w:val="24"/>
          <w:u w:val="single"/>
        </w:rPr>
        <w:t>3.1条第（10）项条款、第21条其他条款。因承包人的违约行为需对发包人承担违约赔偿责任的，发包人有权在尚未支付的工程款项中直接予以抵减相应的违约金</w:t>
      </w:r>
      <w:r>
        <w:rPr>
          <w:rFonts w:hint="eastAsia" w:ascii="宋体" w:hAnsi="宋体" w:eastAsia="宋体"/>
          <w:kern w:val="0"/>
          <w:sz w:val="24"/>
        </w:rPr>
        <w:t>。</w:t>
      </w:r>
    </w:p>
    <w:p>
      <w:pPr>
        <w:pStyle w:val="28"/>
        <w:spacing w:line="440" w:lineRule="exact"/>
        <w:ind w:firstLine="480" w:firstLineChars="200"/>
        <w:rPr>
          <w:rFonts w:ascii="宋体" w:hAnsi="宋体" w:eastAsia="宋体"/>
          <w:kern w:val="0"/>
          <w:sz w:val="24"/>
        </w:rPr>
      </w:pPr>
      <w:r>
        <w:rPr>
          <w:rFonts w:hint="eastAsia" w:ascii="宋体" w:hAnsi="宋体" w:eastAsia="宋体"/>
          <w:kern w:val="0"/>
          <w:sz w:val="24"/>
        </w:rPr>
        <w:t>发包人继续使用承包人在施工现场的材料、设备、临时工程、承包人文件和由承包人或以其名义编制的其他文件的费用承担方式：</w:t>
      </w:r>
      <w:r>
        <w:rPr>
          <w:rFonts w:hint="eastAsia" w:ascii="宋体" w:hAnsi="宋体" w:eastAsia="宋体"/>
          <w:kern w:val="0"/>
          <w:sz w:val="24"/>
          <w:u w:val="single"/>
        </w:rPr>
        <w:t>按通用合同条款</w:t>
      </w:r>
      <w:r>
        <w:rPr>
          <w:rFonts w:hint="eastAsia" w:ascii="宋体" w:hAnsi="宋体" w:eastAsia="宋体"/>
          <w:kern w:val="0"/>
          <w:sz w:val="24"/>
        </w:rPr>
        <w:t>。</w:t>
      </w:r>
    </w:p>
    <w:p>
      <w:pPr>
        <w:pStyle w:val="28"/>
        <w:spacing w:line="440" w:lineRule="exact"/>
        <w:jc w:val="left"/>
        <w:outlineLvl w:val="1"/>
        <w:rPr>
          <w:rFonts w:ascii="宋体" w:hAnsi="宋体" w:eastAsia="宋体"/>
          <w:sz w:val="24"/>
        </w:rPr>
      </w:pPr>
      <w:bookmarkStart w:id="261" w:name="_Toc16513"/>
      <w:r>
        <w:rPr>
          <w:rFonts w:ascii="宋体" w:hAnsi="宋体" w:eastAsia="宋体"/>
          <w:sz w:val="24"/>
        </w:rPr>
        <w:t xml:space="preserve">17. </w:t>
      </w:r>
      <w:r>
        <w:rPr>
          <w:rFonts w:hint="eastAsia" w:ascii="宋体" w:hAnsi="宋体" w:eastAsia="宋体"/>
          <w:sz w:val="24"/>
        </w:rPr>
        <w:t>不可抗力</w:t>
      </w:r>
      <w:bookmarkEnd w:id="261"/>
    </w:p>
    <w:p>
      <w:pPr>
        <w:pStyle w:val="28"/>
        <w:spacing w:line="440" w:lineRule="exact"/>
        <w:ind w:firstLine="480" w:firstLineChars="200"/>
        <w:rPr>
          <w:rFonts w:ascii="宋体" w:hAnsi="宋体" w:eastAsia="宋体"/>
          <w:sz w:val="24"/>
        </w:rPr>
      </w:pPr>
      <w:r>
        <w:rPr>
          <w:rFonts w:ascii="宋体" w:hAnsi="宋体" w:eastAsia="宋体"/>
          <w:sz w:val="24"/>
        </w:rPr>
        <w:t xml:space="preserve">17.1 </w:t>
      </w:r>
      <w:r>
        <w:rPr>
          <w:rFonts w:hint="eastAsia" w:ascii="宋体" w:hAnsi="宋体" w:eastAsia="宋体"/>
          <w:sz w:val="24"/>
        </w:rPr>
        <w:t>不可抗力的确认</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除通用合同条款约定的不可抗力事件之外，视为不可抗力的其他情形：</w:t>
      </w:r>
    </w:p>
    <w:p>
      <w:pPr>
        <w:pStyle w:val="28"/>
        <w:spacing w:line="400" w:lineRule="exact"/>
        <w:ind w:firstLine="480" w:firstLineChars="200"/>
        <w:jc w:val="left"/>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1）烈度为八度（含八度）以上的地震；</w:t>
      </w:r>
    </w:p>
    <w:p>
      <w:pPr>
        <w:pStyle w:val="28"/>
        <w:spacing w:line="400" w:lineRule="exact"/>
        <w:ind w:firstLine="480" w:firstLineChars="200"/>
        <w:jc w:val="left"/>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2）十级以上强风暴；</w:t>
      </w:r>
    </w:p>
    <w:p>
      <w:pPr>
        <w:pStyle w:val="28"/>
        <w:spacing w:line="400" w:lineRule="exact"/>
        <w:ind w:firstLine="480" w:firstLineChars="200"/>
        <w:jc w:val="left"/>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3）龙卷风；</w:t>
      </w:r>
    </w:p>
    <w:p>
      <w:pPr>
        <w:pStyle w:val="28"/>
        <w:spacing w:line="400" w:lineRule="exact"/>
        <w:ind w:firstLine="480" w:firstLineChars="200"/>
        <w:jc w:val="left"/>
        <w:rPr>
          <w:rFonts w:ascii="宋体" w:hAnsi="宋体" w:eastAsia="宋体"/>
          <w:sz w:val="24"/>
          <w:u w:val="single"/>
        </w:rPr>
      </w:pPr>
      <w:r>
        <w:rPr>
          <w:rFonts w:hint="eastAsia" w:ascii="宋体" w:hAnsi="宋体" w:eastAsia="宋体"/>
          <w:sz w:val="24"/>
          <w:u w:val="single"/>
        </w:rPr>
        <w:t>（</w:t>
      </w:r>
      <w:r>
        <w:rPr>
          <w:rFonts w:ascii="宋体" w:hAnsi="宋体" w:eastAsia="宋体"/>
          <w:sz w:val="24"/>
          <w:u w:val="single"/>
        </w:rPr>
        <w:t>4）五十年一遇以上洪水造成重大破坏等情况。</w:t>
      </w:r>
    </w:p>
    <w:p>
      <w:pPr>
        <w:pStyle w:val="28"/>
        <w:spacing w:line="400" w:lineRule="exact"/>
        <w:ind w:firstLine="480" w:firstLineChars="200"/>
        <w:jc w:val="left"/>
        <w:rPr>
          <w:rFonts w:ascii="宋体" w:hAnsi="宋体" w:eastAsia="宋体"/>
          <w:u w:val="single"/>
        </w:rPr>
      </w:pPr>
      <w:r>
        <w:rPr>
          <w:rFonts w:hint="eastAsia" w:ascii="宋体" w:hAnsi="宋体" w:eastAsia="宋体"/>
          <w:sz w:val="24"/>
          <w:u w:val="single"/>
        </w:rPr>
        <w:t>所有上述情况等都以佛山市气象局测定或公布的数据为准。</w:t>
      </w:r>
    </w:p>
    <w:p>
      <w:pPr>
        <w:pStyle w:val="28"/>
        <w:spacing w:line="440" w:lineRule="exact"/>
        <w:ind w:firstLine="480" w:firstLineChars="200"/>
        <w:jc w:val="left"/>
        <w:rPr>
          <w:rFonts w:ascii="宋体" w:hAnsi="宋体" w:eastAsia="宋体"/>
          <w:sz w:val="24"/>
        </w:rPr>
      </w:pPr>
      <w:r>
        <w:rPr>
          <w:rFonts w:ascii="宋体" w:hAnsi="宋体" w:eastAsia="宋体"/>
          <w:sz w:val="24"/>
        </w:rPr>
        <w:t xml:space="preserve">17.4 </w:t>
      </w:r>
      <w:r>
        <w:rPr>
          <w:rFonts w:hint="eastAsia" w:ascii="宋体" w:hAnsi="宋体" w:eastAsia="宋体"/>
          <w:sz w:val="24"/>
        </w:rPr>
        <w:t>因不可抗力解除合同</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合同解除后，发包人应在商定或确定发包人应支付款项后</w:t>
      </w:r>
      <w:r>
        <w:rPr>
          <w:rFonts w:ascii="宋体" w:hAnsi="宋体" w:eastAsia="宋体"/>
          <w:sz w:val="24"/>
          <w:u w:val="single"/>
        </w:rPr>
        <w:t>28</w:t>
      </w:r>
      <w:r>
        <w:rPr>
          <w:rFonts w:hint="eastAsia" w:ascii="宋体" w:hAnsi="宋体" w:eastAsia="宋体"/>
          <w:sz w:val="24"/>
        </w:rPr>
        <w:t>天内完成款项的支付。</w:t>
      </w:r>
    </w:p>
    <w:p>
      <w:pPr>
        <w:pStyle w:val="28"/>
        <w:spacing w:line="440" w:lineRule="exact"/>
        <w:jc w:val="left"/>
        <w:outlineLvl w:val="1"/>
        <w:rPr>
          <w:rFonts w:ascii="宋体" w:hAnsi="宋体" w:eastAsia="宋体"/>
          <w:sz w:val="24"/>
        </w:rPr>
      </w:pPr>
      <w:bookmarkStart w:id="262" w:name="_Toc1945"/>
      <w:r>
        <w:rPr>
          <w:rFonts w:ascii="宋体" w:hAnsi="宋体" w:eastAsia="宋体"/>
          <w:sz w:val="24"/>
        </w:rPr>
        <w:t xml:space="preserve">18. </w:t>
      </w:r>
      <w:r>
        <w:rPr>
          <w:rFonts w:hint="eastAsia" w:ascii="宋体" w:hAnsi="宋体" w:eastAsia="宋体"/>
          <w:sz w:val="24"/>
        </w:rPr>
        <w:t>保险</w:t>
      </w:r>
      <w:bookmarkEnd w:id="262"/>
    </w:p>
    <w:p>
      <w:pPr>
        <w:pStyle w:val="28"/>
        <w:spacing w:line="440" w:lineRule="exact"/>
        <w:ind w:firstLine="480" w:firstLineChars="200"/>
        <w:rPr>
          <w:rFonts w:ascii="宋体" w:hAnsi="宋体" w:eastAsia="宋体"/>
          <w:sz w:val="24"/>
        </w:rPr>
      </w:pPr>
      <w:r>
        <w:rPr>
          <w:rFonts w:ascii="宋体" w:hAnsi="宋体" w:eastAsia="宋体"/>
          <w:sz w:val="24"/>
        </w:rPr>
        <w:t xml:space="preserve">18.1 </w:t>
      </w:r>
      <w:r>
        <w:rPr>
          <w:rFonts w:hint="eastAsia" w:ascii="宋体" w:hAnsi="宋体" w:eastAsia="宋体"/>
          <w:sz w:val="24"/>
        </w:rPr>
        <w:t>工程保险</w:t>
      </w:r>
    </w:p>
    <w:p>
      <w:pPr>
        <w:pStyle w:val="28"/>
        <w:spacing w:line="440" w:lineRule="exact"/>
        <w:ind w:firstLine="480" w:firstLineChars="200"/>
        <w:jc w:val="left"/>
        <w:rPr>
          <w:rFonts w:ascii="宋体" w:hAnsi="宋体" w:eastAsia="宋体"/>
          <w:kern w:val="0"/>
          <w:sz w:val="24"/>
        </w:rPr>
      </w:pPr>
      <w:r>
        <w:rPr>
          <w:rFonts w:hint="eastAsia" w:ascii="宋体" w:hAnsi="宋体" w:eastAsia="宋体"/>
          <w:sz w:val="24"/>
        </w:rPr>
        <w:t>关于工程保险的特别约定：</w:t>
      </w:r>
      <w:r>
        <w:rPr>
          <w:rFonts w:hint="eastAsia" w:ascii="宋体" w:hAnsi="宋体" w:eastAsia="宋体"/>
          <w:kern w:val="0"/>
          <w:sz w:val="24"/>
          <w:u w:val="single"/>
        </w:rPr>
        <w:t>为从事危险作业的职工办理工伤保险、意外伤害保险，并为施工场地内自有人员生命财产、施工机械设备和材料及其它相关规定要求的投保范围办理保险，上述保险办理工作和相关一切费用由承包人负责和支付。承包人必须在获取成交通知书后</w:t>
      </w:r>
      <w:r>
        <w:rPr>
          <w:rFonts w:ascii="宋体" w:hAnsi="宋体" w:eastAsia="宋体"/>
          <w:kern w:val="0"/>
          <w:sz w:val="24"/>
          <w:u w:val="single"/>
        </w:rPr>
        <w:t>15日内，自行购买工程一切险和第三方责任险，保险标的必须涵盖整个工程项目，保险期限至少达到整个工程项目完工验收合格，保险费用由承包人独立承担，发包人不再另行支付费用。保</w:t>
      </w:r>
      <w:r>
        <w:rPr>
          <w:rFonts w:hint="eastAsia" w:ascii="宋体" w:hAnsi="宋体" w:eastAsia="宋体"/>
          <w:kern w:val="0"/>
          <w:sz w:val="24"/>
          <w:u w:val="single"/>
        </w:rPr>
        <w:t>险合同的签订须取得监理工程师与发包人的同意。保险合同签订后，需提交监理工程师与发包人备案。若承包人拖延或拒绝购买保险，发包人有权直接购买，所需费用由承包人负责，发包人可在预付款或进度款中扣回</w:t>
      </w:r>
      <w:r>
        <w:rPr>
          <w:rFonts w:hint="eastAsia" w:ascii="宋体" w:hAnsi="宋体" w:eastAsia="宋体"/>
          <w:kern w:val="0"/>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18.3 </w:t>
      </w:r>
      <w:r>
        <w:rPr>
          <w:rFonts w:hint="eastAsia" w:ascii="宋体" w:hAnsi="宋体" w:eastAsia="宋体"/>
          <w:sz w:val="24"/>
        </w:rPr>
        <w:t>其他保险</w:t>
      </w:r>
    </w:p>
    <w:p>
      <w:pPr>
        <w:pStyle w:val="28"/>
        <w:spacing w:line="440" w:lineRule="exact"/>
        <w:ind w:firstLine="480" w:firstLineChars="200"/>
        <w:jc w:val="left"/>
        <w:rPr>
          <w:rFonts w:ascii="宋体" w:hAnsi="宋体" w:eastAsia="宋体"/>
          <w:kern w:val="0"/>
          <w:sz w:val="24"/>
        </w:rPr>
      </w:pPr>
      <w:r>
        <w:rPr>
          <w:rFonts w:hint="eastAsia" w:ascii="宋体" w:hAnsi="宋体" w:eastAsia="宋体"/>
          <w:sz w:val="24"/>
        </w:rPr>
        <w:t>关于其他保险的约定：</w:t>
      </w:r>
      <w:r>
        <w:rPr>
          <w:rFonts w:hint="eastAsia" w:ascii="宋体" w:hAnsi="宋体" w:eastAsia="宋体"/>
          <w:kern w:val="0"/>
          <w:sz w:val="24"/>
          <w:u w:val="single"/>
        </w:rPr>
        <w:t>按通用条款执行</w:t>
      </w:r>
      <w:r>
        <w:rPr>
          <w:rFonts w:hint="eastAsia" w:ascii="宋体" w:hAnsi="宋体" w:eastAsia="宋体"/>
          <w:kern w:val="0"/>
          <w:sz w:val="24"/>
        </w:rPr>
        <w:t>。</w:t>
      </w:r>
    </w:p>
    <w:p>
      <w:pPr>
        <w:pStyle w:val="28"/>
        <w:spacing w:line="440" w:lineRule="exact"/>
        <w:ind w:firstLine="480" w:firstLineChars="200"/>
        <w:jc w:val="left"/>
        <w:rPr>
          <w:rFonts w:ascii="宋体" w:hAnsi="宋体" w:eastAsia="宋体"/>
          <w:kern w:val="0"/>
          <w:sz w:val="24"/>
        </w:rPr>
      </w:pPr>
      <w:r>
        <w:rPr>
          <w:rFonts w:hint="eastAsia" w:ascii="宋体" w:hAnsi="宋体" w:eastAsia="宋体"/>
          <w:sz w:val="24"/>
        </w:rPr>
        <w:t>承包人是否应为其施工设备等办理财产保险：</w:t>
      </w:r>
      <w:r>
        <w:rPr>
          <w:rFonts w:hint="eastAsia" w:ascii="宋体" w:hAnsi="宋体" w:eastAsia="宋体"/>
          <w:sz w:val="24"/>
          <w:u w:val="single"/>
        </w:rPr>
        <w:t>按专用条款</w:t>
      </w:r>
      <w:r>
        <w:rPr>
          <w:rFonts w:ascii="宋体" w:hAnsi="宋体" w:eastAsia="宋体"/>
          <w:sz w:val="24"/>
          <w:u w:val="single"/>
        </w:rPr>
        <w:t>18.1条</w:t>
      </w:r>
      <w:r>
        <w:rPr>
          <w:rFonts w:hint="eastAsia" w:ascii="宋体" w:hAnsi="宋体" w:eastAsia="宋体"/>
          <w:sz w:val="24"/>
        </w:rPr>
        <w:t>。</w:t>
      </w:r>
    </w:p>
    <w:p>
      <w:pPr>
        <w:pStyle w:val="28"/>
        <w:spacing w:line="440" w:lineRule="exact"/>
        <w:ind w:firstLine="480" w:firstLineChars="200"/>
        <w:rPr>
          <w:rFonts w:ascii="宋体" w:hAnsi="宋体" w:eastAsia="宋体"/>
          <w:sz w:val="24"/>
        </w:rPr>
      </w:pPr>
      <w:r>
        <w:rPr>
          <w:rFonts w:ascii="宋体" w:hAnsi="宋体" w:eastAsia="宋体"/>
          <w:sz w:val="24"/>
        </w:rPr>
        <w:t xml:space="preserve">18.7 </w:t>
      </w:r>
      <w:r>
        <w:rPr>
          <w:rFonts w:hint="eastAsia" w:ascii="宋体" w:hAnsi="宋体" w:eastAsia="宋体"/>
          <w:sz w:val="24"/>
        </w:rPr>
        <w:t>通知义务</w:t>
      </w:r>
    </w:p>
    <w:p>
      <w:pPr>
        <w:pStyle w:val="28"/>
        <w:spacing w:line="440" w:lineRule="exact"/>
        <w:ind w:firstLine="480" w:firstLineChars="200"/>
        <w:jc w:val="left"/>
        <w:rPr>
          <w:rFonts w:ascii="宋体" w:hAnsi="宋体" w:eastAsia="宋体"/>
          <w:sz w:val="24"/>
        </w:rPr>
      </w:pPr>
      <w:r>
        <w:rPr>
          <w:rFonts w:hint="eastAsia" w:ascii="宋体" w:hAnsi="宋体" w:eastAsia="宋体"/>
          <w:kern w:val="0"/>
          <w:sz w:val="24"/>
        </w:rPr>
        <w:t>关于变更保险合同时的通知义务的约定：</w:t>
      </w:r>
      <w:r>
        <w:rPr>
          <w:rFonts w:ascii="宋体" w:hAnsi="宋体" w:eastAsia="宋体"/>
          <w:sz w:val="24"/>
          <w:u w:val="single"/>
        </w:rPr>
        <w:t xml:space="preserve"> / </w:t>
      </w:r>
      <w:r>
        <w:rPr>
          <w:rFonts w:hint="eastAsia" w:ascii="宋体" w:hAnsi="宋体" w:eastAsia="宋体"/>
          <w:sz w:val="24"/>
        </w:rPr>
        <w:t>。</w:t>
      </w:r>
    </w:p>
    <w:p>
      <w:pPr>
        <w:pStyle w:val="28"/>
        <w:spacing w:line="440" w:lineRule="exact"/>
        <w:outlineLvl w:val="1"/>
        <w:rPr>
          <w:rFonts w:ascii="宋体" w:hAnsi="宋体" w:eastAsia="宋体"/>
          <w:sz w:val="24"/>
        </w:rPr>
      </w:pPr>
      <w:bookmarkStart w:id="263" w:name="_Toc5946"/>
      <w:r>
        <w:rPr>
          <w:rFonts w:ascii="宋体" w:hAnsi="宋体" w:eastAsia="宋体"/>
          <w:sz w:val="24"/>
        </w:rPr>
        <w:t xml:space="preserve">20. </w:t>
      </w:r>
      <w:r>
        <w:rPr>
          <w:rFonts w:hint="eastAsia" w:ascii="宋体" w:hAnsi="宋体" w:eastAsia="宋体"/>
          <w:sz w:val="24"/>
        </w:rPr>
        <w:t>争议解决</w:t>
      </w:r>
      <w:bookmarkEnd w:id="263"/>
    </w:p>
    <w:p>
      <w:pPr>
        <w:pStyle w:val="28"/>
        <w:spacing w:line="440" w:lineRule="exact"/>
        <w:ind w:firstLine="480" w:firstLineChars="200"/>
        <w:rPr>
          <w:rFonts w:ascii="宋体" w:hAnsi="宋体" w:eastAsia="宋体"/>
          <w:sz w:val="24"/>
        </w:rPr>
      </w:pPr>
      <w:r>
        <w:rPr>
          <w:rFonts w:ascii="宋体" w:hAnsi="宋体" w:eastAsia="宋体"/>
          <w:sz w:val="24"/>
        </w:rPr>
        <w:t xml:space="preserve">20.3 </w:t>
      </w:r>
      <w:r>
        <w:rPr>
          <w:rFonts w:hint="eastAsia" w:ascii="宋体" w:hAnsi="宋体" w:eastAsia="宋体"/>
          <w:sz w:val="24"/>
        </w:rPr>
        <w:t>争议评审</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合同当事人是否同意将工程争议提交争议评审小组决定：</w:t>
      </w:r>
      <w:r>
        <w:rPr>
          <w:rFonts w:ascii="宋体" w:hAnsi="宋体" w:eastAsia="宋体"/>
          <w:sz w:val="24"/>
          <w:u w:val="single"/>
        </w:rPr>
        <w:t>/</w:t>
      </w:r>
      <w:r>
        <w:rPr>
          <w:rFonts w:hint="eastAsia" w:ascii="宋体" w:hAnsi="宋体" w:eastAsia="宋体"/>
          <w:sz w:val="24"/>
        </w:rPr>
        <w:t>。</w:t>
      </w:r>
      <w:r>
        <w:rPr>
          <w:rFonts w:ascii="宋体" w:hAnsi="宋体" w:eastAsia="宋体"/>
          <w:sz w:val="24"/>
        </w:rPr>
        <w:t xml:space="preserve">  </w:t>
      </w:r>
    </w:p>
    <w:p>
      <w:pPr>
        <w:pStyle w:val="28"/>
        <w:spacing w:line="440" w:lineRule="exact"/>
        <w:ind w:firstLine="480" w:firstLineChars="200"/>
        <w:rPr>
          <w:rFonts w:ascii="宋体" w:hAnsi="宋体" w:eastAsia="宋体"/>
          <w:sz w:val="24"/>
        </w:rPr>
      </w:pPr>
      <w:r>
        <w:rPr>
          <w:rFonts w:ascii="宋体" w:hAnsi="宋体" w:eastAsia="宋体"/>
          <w:sz w:val="24"/>
        </w:rPr>
        <w:t xml:space="preserve">20.3.1 </w:t>
      </w:r>
      <w:r>
        <w:rPr>
          <w:rFonts w:hint="eastAsia" w:ascii="宋体" w:hAnsi="宋体" w:eastAsia="宋体"/>
          <w:sz w:val="24"/>
        </w:rPr>
        <w:t>争议评审小组的确定</w:t>
      </w:r>
    </w:p>
    <w:p>
      <w:pPr>
        <w:pStyle w:val="28"/>
        <w:spacing w:line="440" w:lineRule="exact"/>
        <w:ind w:firstLine="480" w:firstLineChars="200"/>
        <w:jc w:val="left"/>
        <w:rPr>
          <w:rFonts w:ascii="宋体" w:hAnsi="宋体" w:eastAsia="宋体"/>
          <w:sz w:val="24"/>
          <w:u w:val="single"/>
        </w:rPr>
      </w:pPr>
      <w:r>
        <w:rPr>
          <w:rFonts w:hint="eastAsia" w:ascii="宋体" w:hAnsi="宋体" w:eastAsia="宋体"/>
          <w:sz w:val="24"/>
        </w:rPr>
        <w:t>争议评审小组成员的确定：</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选定争议评审员的期限：</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争议评审小组成员的报酬承担方式：</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其他事项的约定：</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rPr>
          <w:rFonts w:ascii="宋体" w:hAnsi="宋体" w:eastAsia="宋体"/>
          <w:kern w:val="0"/>
          <w:sz w:val="24"/>
        </w:rPr>
      </w:pPr>
      <w:r>
        <w:rPr>
          <w:rFonts w:ascii="宋体" w:hAnsi="宋体" w:eastAsia="宋体"/>
          <w:kern w:val="0"/>
          <w:sz w:val="24"/>
        </w:rPr>
        <w:t xml:space="preserve">20.3.2 </w:t>
      </w:r>
      <w:r>
        <w:rPr>
          <w:rFonts w:hint="eastAsia" w:ascii="宋体" w:hAnsi="宋体" w:eastAsia="宋体"/>
          <w:kern w:val="0"/>
          <w:sz w:val="24"/>
        </w:rPr>
        <w:t>争议评审小组的决定</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合同当事人关于本项的约定：</w:t>
      </w:r>
      <w:r>
        <w:rPr>
          <w:rFonts w:ascii="宋体" w:hAnsi="宋体" w:eastAsia="宋体"/>
          <w:sz w:val="24"/>
          <w:u w:val="single"/>
        </w:rPr>
        <w:t xml:space="preserve"> / </w:t>
      </w:r>
      <w:r>
        <w:rPr>
          <w:rFonts w:hint="eastAsia" w:ascii="宋体" w:hAnsi="宋体" w:eastAsia="宋体"/>
          <w:sz w:val="24"/>
        </w:rPr>
        <w:t>。</w:t>
      </w:r>
    </w:p>
    <w:p>
      <w:pPr>
        <w:pStyle w:val="28"/>
        <w:spacing w:line="440" w:lineRule="exact"/>
        <w:ind w:firstLine="480" w:firstLineChars="200"/>
        <w:rPr>
          <w:rFonts w:ascii="宋体" w:hAnsi="宋体" w:eastAsia="宋体"/>
          <w:kern w:val="0"/>
          <w:sz w:val="24"/>
        </w:rPr>
      </w:pPr>
      <w:r>
        <w:rPr>
          <w:rFonts w:ascii="宋体" w:hAnsi="宋体" w:eastAsia="宋体"/>
          <w:kern w:val="0"/>
          <w:sz w:val="24"/>
        </w:rPr>
        <w:t>20.4仲裁或诉讼</w:t>
      </w:r>
    </w:p>
    <w:p>
      <w:pPr>
        <w:pStyle w:val="28"/>
        <w:spacing w:line="440" w:lineRule="exact"/>
        <w:ind w:firstLine="480" w:firstLineChars="200"/>
        <w:rPr>
          <w:rFonts w:ascii="宋体" w:hAnsi="宋体" w:eastAsia="宋体"/>
          <w:sz w:val="24"/>
        </w:rPr>
      </w:pPr>
      <w:r>
        <w:rPr>
          <w:rFonts w:hint="eastAsia" w:ascii="宋体" w:hAnsi="宋体" w:eastAsia="宋体"/>
          <w:sz w:val="24"/>
        </w:rPr>
        <w:t>因合同及合同有关事项发生的争议，按下列第</w:t>
      </w:r>
      <w:r>
        <w:rPr>
          <w:rFonts w:ascii="宋体" w:hAnsi="宋体" w:eastAsia="宋体"/>
          <w:sz w:val="24"/>
          <w:u w:val="single"/>
        </w:rPr>
        <w:t>2</w:t>
      </w:r>
      <w:r>
        <w:rPr>
          <w:rFonts w:hint="eastAsia" w:ascii="宋体" w:hAnsi="宋体" w:eastAsia="宋体"/>
          <w:sz w:val="24"/>
        </w:rPr>
        <w:t>种方式解决：</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w:t>
      </w:r>
      <w:r>
        <w:rPr>
          <w:rFonts w:ascii="宋体" w:hAnsi="宋体" w:eastAsia="宋体"/>
          <w:sz w:val="24"/>
        </w:rPr>
        <w:t>1）向</w:t>
      </w:r>
      <w:r>
        <w:rPr>
          <w:rFonts w:hint="eastAsia" w:ascii="宋体" w:hAnsi="宋体" w:eastAsia="宋体"/>
          <w:sz w:val="24"/>
          <w:u w:val="single"/>
        </w:rPr>
        <w:t>佛山</w:t>
      </w:r>
      <w:r>
        <w:rPr>
          <w:rFonts w:hint="eastAsia" w:ascii="宋体" w:hAnsi="宋体" w:eastAsia="宋体"/>
          <w:sz w:val="24"/>
        </w:rPr>
        <w:t>仲裁委员会申请仲裁；</w:t>
      </w:r>
    </w:p>
    <w:p>
      <w:pPr>
        <w:pStyle w:val="28"/>
        <w:spacing w:line="440" w:lineRule="exact"/>
        <w:ind w:firstLine="480" w:firstLineChars="200"/>
        <w:jc w:val="left"/>
        <w:rPr>
          <w:rFonts w:ascii="宋体" w:hAnsi="宋体" w:eastAsia="宋体"/>
          <w:sz w:val="24"/>
        </w:rPr>
      </w:pPr>
      <w:r>
        <w:rPr>
          <w:rFonts w:hint="eastAsia" w:ascii="宋体" w:hAnsi="宋体" w:eastAsia="宋体"/>
          <w:sz w:val="24"/>
        </w:rPr>
        <w:t>（</w:t>
      </w:r>
      <w:r>
        <w:rPr>
          <w:rFonts w:ascii="宋体" w:hAnsi="宋体" w:eastAsia="宋体"/>
          <w:sz w:val="24"/>
        </w:rPr>
        <w:t>2）向</w:t>
      </w:r>
      <w:r>
        <w:rPr>
          <w:rFonts w:ascii="宋体" w:hAnsi="宋体" w:eastAsia="宋体"/>
          <w:sz w:val="24"/>
          <w:u w:val="single"/>
        </w:rPr>
        <w:t xml:space="preserve"> 佛山市三水区 </w:t>
      </w:r>
      <w:r>
        <w:rPr>
          <w:rFonts w:hint="eastAsia" w:ascii="宋体" w:hAnsi="宋体" w:eastAsia="宋体"/>
          <w:sz w:val="24"/>
        </w:rPr>
        <w:t>人民法院起诉。</w:t>
      </w:r>
    </w:p>
    <w:p>
      <w:pPr>
        <w:pStyle w:val="28"/>
        <w:widowControl/>
        <w:spacing w:line="312" w:lineRule="auto"/>
        <w:outlineLvl w:val="1"/>
        <w:rPr>
          <w:rFonts w:ascii="宋体" w:hAnsi="宋体" w:eastAsia="宋体"/>
          <w:b/>
          <w:bCs/>
          <w:sz w:val="24"/>
        </w:rPr>
      </w:pPr>
      <w:bookmarkStart w:id="264" w:name="_Toc14982"/>
      <w:r>
        <w:rPr>
          <w:rFonts w:ascii="宋体" w:hAnsi="宋体" w:eastAsia="宋体"/>
          <w:b/>
          <w:bCs/>
          <w:sz w:val="24"/>
        </w:rPr>
        <w:t xml:space="preserve">21. </w:t>
      </w:r>
      <w:r>
        <w:rPr>
          <w:rFonts w:hint="eastAsia" w:ascii="宋体" w:hAnsi="宋体" w:eastAsia="宋体"/>
          <w:b/>
          <w:bCs/>
          <w:sz w:val="24"/>
        </w:rPr>
        <w:t>其他条款</w:t>
      </w:r>
      <w:bookmarkEnd w:id="264"/>
    </w:p>
    <w:p>
      <w:pPr>
        <w:pStyle w:val="28"/>
        <w:spacing w:line="312" w:lineRule="auto"/>
        <w:rPr>
          <w:rFonts w:ascii="宋体" w:hAnsi="宋体" w:eastAsia="宋体"/>
          <w:b/>
          <w:bCs/>
          <w:sz w:val="24"/>
        </w:rPr>
      </w:pPr>
      <w:r>
        <w:rPr>
          <w:rFonts w:ascii="宋体" w:hAnsi="宋体" w:eastAsia="宋体"/>
          <w:b/>
          <w:bCs/>
          <w:sz w:val="24"/>
        </w:rPr>
        <w:t>21.1、承包人应做的其他工作及要求：</w:t>
      </w:r>
    </w:p>
    <w:p>
      <w:pPr>
        <w:pStyle w:val="28"/>
        <w:spacing w:line="312" w:lineRule="auto"/>
        <w:rPr>
          <w:rFonts w:ascii="宋体" w:hAnsi="宋体" w:eastAsia="宋体"/>
          <w:sz w:val="24"/>
        </w:rPr>
      </w:pPr>
      <w:r>
        <w:rPr>
          <w:rFonts w:ascii="宋体" w:hAnsi="宋体" w:eastAsia="宋体"/>
          <w:sz w:val="24"/>
        </w:rPr>
        <w:t>1、本工程引用的标准或规范主要为国家官方标准和规范，次为适用于本工程的其它标准或规范。</w:t>
      </w:r>
    </w:p>
    <w:p>
      <w:pPr>
        <w:pStyle w:val="28"/>
        <w:spacing w:line="312" w:lineRule="auto"/>
        <w:outlineLvl w:val="1"/>
        <w:rPr>
          <w:rFonts w:ascii="宋体" w:hAnsi="宋体" w:eastAsia="宋体"/>
          <w:sz w:val="24"/>
        </w:rPr>
      </w:pPr>
      <w:bookmarkStart w:id="265" w:name="_Toc5963"/>
      <w:r>
        <w:rPr>
          <w:rFonts w:ascii="宋体" w:hAnsi="宋体" w:eastAsia="宋体"/>
          <w:sz w:val="24"/>
        </w:rPr>
        <w:t>2、其他要求：</w:t>
      </w:r>
      <w:bookmarkEnd w:id="265"/>
    </w:p>
    <w:p>
      <w:pPr>
        <w:pStyle w:val="28"/>
        <w:spacing w:line="312" w:lineRule="auto"/>
        <w:jc w:val="left"/>
        <w:rPr>
          <w:rFonts w:ascii="宋体" w:hAnsi="宋体" w:eastAsia="宋体"/>
          <w:sz w:val="24"/>
        </w:rPr>
      </w:pPr>
      <w:r>
        <w:rPr>
          <w:rFonts w:hint="eastAsia" w:ascii="宋体" w:hAnsi="宋体" w:eastAsia="宋体"/>
          <w:sz w:val="24"/>
        </w:rPr>
        <w:t>（</w:t>
      </w:r>
      <w:r>
        <w:rPr>
          <w:rFonts w:ascii="宋体" w:hAnsi="宋体" w:eastAsia="宋体"/>
          <w:sz w:val="24"/>
        </w:rPr>
        <w:t>1）本工程土壤类别（含淤泥等）均按综合类土考虑，土石方的挖运及回填运距由承包人自行确定，同时承包人也已经在合同报价中考虑泥浆外运相关费用，上述费用已经在合同价时须综合考虑，发包人均不作补偿。</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2）承包人合同价时已经考虑施工期间排水降水、管沟排水、汛期排水、雨天疏通积水、临时电力的架设与维护、道路维持交通费、大型机械进退场及安拆费用、所有安装设备的调试和</w:t>
      </w:r>
      <w:r>
        <w:rPr>
          <w:rFonts w:hint="eastAsia" w:ascii="宋体" w:hAnsi="宋体" w:eastAsia="宋体"/>
          <w:sz w:val="24"/>
        </w:rPr>
        <w:t>验收费用、施工便道砌筑与养护、临时供水、临时水电费、施工工棚等相关临时措施和设施产生的费用，合同价中已经考虑上述所有可能发生的临时费用。承包人同时已经自行考虑进入该地块的施工便道路线方案，并根据路线方案在响应报价中已经自行考虑施工车辆通行可能发生的交通道路开口、临时便桥架设、临时便道的修筑以及维护等所发生的各项费用，任何有关上述工程所产生的费用将不另行签证作为增加本工程费用的依据。</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3）本工程应做好排水、降水措施；并应与项目内其它的排水、降水措施进行合理、有效、快速衔接，经设计确认方可停止降水。本工程排水走向需经过本工程的其他标段，此项费用包干，报价时已综合考虑此项费用。本工程的排水、降水、施工便道、抽水台班、施工现场的障碍物及管线的拆除，承包人报价时在总价措施费表中已经以“项”的形式结合本工程的实际情况作综合报价（如不按前述要求填报，则视为该相关费用已经包含在合同总报价中），结算时不作另外签证。</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4）由于本工程的施工场地的限制，承包人已经对施工现场进行考察后，承包人已经充分考虑施工期间的办公用房、员工住宿用房设置、材料二次运输以及保管等相关费用并计入合同价中，发包人不再因场地限制等因素造成的承包人费用增加（如施工人员租用民房、材料加工运输等）而予以补偿。</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5）本工程可能存在多次进退场、局部停工、窝工费等，承包人已经在合同报价时应作综合考虑，权衡风险，发包人不再支付由此产生的一切费用，但工期经发包人批准后可予以顺延。</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6）本工程承包人需与发包人另行发包的其他项目等进行配合、穿插、交叉作业，可能会对本工程施工造成影响，承包人需合理计划工期（工期不补）。</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7）本工程须采用商品砼及预拌砂浆，承包人应考虑相关费用进行报价。</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 xml:space="preserve">8）施工中的材料堆放、搬运以及垂直运输所需的费用由承包人自行负责, </w:t>
      </w:r>
      <w:r>
        <w:rPr>
          <w:rFonts w:hint="eastAsia" w:ascii="宋体" w:hAnsi="宋体" w:eastAsia="宋体"/>
          <w:sz w:val="24"/>
        </w:rPr>
        <w:t>应包含在合同价中，不得向发包人提出增加工程造价的要求。</w:t>
      </w:r>
    </w:p>
    <w:p>
      <w:pPr>
        <w:pStyle w:val="28"/>
        <w:spacing w:line="312" w:lineRule="auto"/>
        <w:ind w:firstLine="480" w:firstLineChars="200"/>
        <w:rPr>
          <w:rFonts w:ascii="宋体" w:hAnsi="宋体" w:eastAsia="宋体"/>
          <w:sz w:val="24"/>
        </w:rPr>
      </w:pPr>
      <w:r>
        <w:rPr>
          <w:rFonts w:hint="eastAsia" w:ascii="宋体" w:hAnsi="宋体" w:eastAsia="宋体"/>
          <w:sz w:val="24"/>
        </w:rPr>
        <w:t>关于总承包人与其他承包人的配合要求：</w:t>
      </w:r>
    </w:p>
    <w:p>
      <w:pPr>
        <w:pStyle w:val="28"/>
        <w:spacing w:line="312" w:lineRule="auto"/>
        <w:ind w:firstLine="480" w:firstLineChars="200"/>
        <w:rPr>
          <w:rFonts w:ascii="宋体" w:hAnsi="宋体" w:eastAsia="宋体"/>
          <w:sz w:val="24"/>
        </w:rPr>
      </w:pPr>
      <w:r>
        <w:rPr>
          <w:rFonts w:ascii="宋体" w:hAnsi="宋体" w:eastAsia="宋体"/>
          <w:sz w:val="24"/>
        </w:rPr>
        <w:t>1）如该项目施工场地内还有其他承包人，施工过程中承包人应与其他承包人配合施工，在承包人承包的标段范围内无偿提供相关附属设施给其</w:t>
      </w:r>
      <w:r>
        <w:rPr>
          <w:rFonts w:hint="eastAsia" w:ascii="宋体" w:hAnsi="宋体" w:eastAsia="宋体"/>
          <w:sz w:val="24"/>
        </w:rPr>
        <w:t>他</w:t>
      </w:r>
      <w:r>
        <w:rPr>
          <w:rFonts w:ascii="宋体" w:hAnsi="宋体" w:eastAsia="宋体"/>
          <w:sz w:val="24"/>
        </w:rPr>
        <w:t>承包人使用，并无条件接受发包人的安排，配合费用由承包人在合同报价中综合考虑。</w:t>
      </w:r>
    </w:p>
    <w:p>
      <w:pPr>
        <w:pStyle w:val="28"/>
        <w:spacing w:line="312" w:lineRule="auto"/>
        <w:ind w:firstLine="480" w:firstLineChars="200"/>
        <w:rPr>
          <w:rFonts w:ascii="宋体" w:hAnsi="宋体" w:eastAsia="宋体"/>
          <w:sz w:val="24"/>
        </w:rPr>
      </w:pPr>
      <w:r>
        <w:rPr>
          <w:rFonts w:ascii="宋体" w:hAnsi="宋体" w:eastAsia="宋体"/>
          <w:sz w:val="24"/>
        </w:rPr>
        <w:t>2）本工程的承包人应给予其他承包人合理、足够的施工时间、施工面、施工配合。监理工程师将检查本工程承包人与其他承包人的施工配合计划并监督其实施，所发生的相关费用，包含在其合同报价中，承包人不得另外收取相关管理费用。</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10）承包人在施工过程中，如遇到需与外部相关的单位协调的问题时，应自行解决，发包人只负责协助。如办理夜间施工许可证、淤泥外运许可证等。</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11）道路的封闭的交通维护以及交通告示牌等的交通疏导方案必须经交警主管部门审批（发包人只负责协作）；所发生的标志牌、疏导交通设施费等费用由承包人承担。</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12）承包人的合同报价中已包含编制竣工资料和竣工图的全部费用，发包人不再增加相关费</w:t>
      </w:r>
      <w:r>
        <w:rPr>
          <w:rFonts w:hint="eastAsia" w:ascii="宋体" w:hAnsi="宋体" w:eastAsia="宋体"/>
          <w:sz w:val="24"/>
        </w:rPr>
        <w:t>用。</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13）承包人必须注意施工安全，做好安全文明施工工作，如因措施不当造成人身安全或工伤死亡事故，一切责任由承包人负责。承包人应按照要求办理其施工机械设备和雇佣职工安全事故保险，费用由承包人负担，并应被认为已摊入其工程细目的单价之内，不单独支付。</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14）承包人的施工办公区及生活区必须在发包人指定的位置搭建，所需费用由承包人自行承担；承包人应为发包人以及监理人提供办公室及宿舍共4间，且发包人在施工过程中有权根据实际情况要求承包人增设办公室及宿舍，相关费用已包含在合同报价中，发包人不另行支付相关费用。</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15）已完工程成品保护的特殊要求：已完工程未竣工验收交付发包人之前，承包人负责协调并责成其施工的已完工程的保护工作，此期间发生损坏无论是何种原因导致，承包人应承担责任。承包人均负责协调并责成修复，费用和相关责任自负。</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17）承包人已经在合同报价时综合考虑施工场地内的场地平整及所有障碍物的拆除、挖运、破障、临水临电费用等费用，在合同报价时应在总价措施项目清单与计价表中以“项”的形式结合本工程的实际情况作综合报价，结算时发包人不另外增加该项费用。</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18）承包人办理本工程有关的施工报建手续、完工（竣工）验收手续及完工（竣工）档案的整理、编制、移交。其它事宜在具体发生时商定，费用按政策规定各自承担相应部分。承包人已经充分考虑各项报建手续所需的时间，合理安排工期，不得以此延迟工期。上述工作所需相关费用承包人已经充分考虑，并包含在合同价中。临时设施方案应在接到</w:t>
      </w:r>
      <w:r>
        <w:rPr>
          <w:rFonts w:hint="eastAsia" w:ascii="宋体" w:hAnsi="宋体" w:eastAsia="宋体"/>
          <w:sz w:val="24"/>
        </w:rPr>
        <w:t>成交</w:t>
      </w:r>
      <w:r>
        <w:rPr>
          <w:rFonts w:ascii="宋体" w:hAnsi="宋体" w:eastAsia="宋体"/>
          <w:sz w:val="24"/>
        </w:rPr>
        <w:t>通知书后7天内提交发包人及监理工程师审批。</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19）任何因赶工而造成的费用增加均应计入合同价中，结算时不另外增加费用，承包人已经在合同价中综合考虑。</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20）承包人需严格按照当地政府、有关部门及相关文件的要求，做好施工现场扬尘管控，达到“六个100%”（现场围蔽、砂土覆盖、路面硬化、洒水压尘、车辆冲净、场地绿化），全面禁止使用冒黑烟高排放工程机械（含挖掘机、装载机、平地机、铺路机、压路机、叉车、推土机、旋挖桩机、铁刨机等），非道路移动机械必须使用符合标准的普通柴油,相关费用已包含在合同价中，发包人不再另行支付。如未能达到当地政府、有关部门及相关文件的要求，承包人须在收到整改通知书后一周内（含收到整改通知书当天）提出整改措施方案并组织实施。如拒不落实要求，将上报行政主管部门，实施诚信扣分并纳入行业“黑名单”。</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21）施工期间，因发包人和设计单位原因造成的增加、变更工程，承包人必须无条件施工，并按合同及本结算方法施工结算，承包人不得拒绝，否则视为违约。因承包人原因造成的增加、变更工程，所增加的费用及工期延误等一切由承包人承担，其中包括且不限于：</w:t>
      </w:r>
    </w:p>
    <w:p>
      <w:pPr>
        <w:pStyle w:val="28"/>
        <w:spacing w:line="312" w:lineRule="auto"/>
        <w:ind w:firstLine="480" w:firstLineChars="200"/>
        <w:rPr>
          <w:rFonts w:ascii="宋体" w:hAnsi="宋体" w:eastAsia="宋体"/>
          <w:sz w:val="24"/>
        </w:rPr>
      </w:pPr>
      <w:r>
        <w:rPr>
          <w:rFonts w:hint="eastAsia" w:ascii="宋体" w:hAnsi="宋体" w:eastAsia="宋体"/>
          <w:sz w:val="24"/>
        </w:rPr>
        <w:t>①对设计缺陷、错漏等，承包人应在施工合同签署之日起</w:t>
      </w:r>
      <w:r>
        <w:rPr>
          <w:rFonts w:ascii="宋体" w:hAnsi="宋体" w:eastAsia="宋体"/>
          <w:sz w:val="24"/>
        </w:rPr>
        <w:t>60日历天内提出，并考虑变更审批的合理时间，否则造成的工期延误由承包人承担。</w:t>
      </w:r>
    </w:p>
    <w:p>
      <w:pPr>
        <w:pStyle w:val="28"/>
        <w:spacing w:line="312" w:lineRule="auto"/>
        <w:ind w:firstLine="480" w:firstLineChars="200"/>
        <w:rPr>
          <w:rFonts w:ascii="宋体" w:hAnsi="宋体" w:eastAsia="宋体"/>
          <w:sz w:val="24"/>
        </w:rPr>
      </w:pPr>
      <w:r>
        <w:rPr>
          <w:rFonts w:hint="eastAsia" w:ascii="宋体" w:hAnsi="宋体" w:eastAsia="宋体"/>
          <w:sz w:val="24"/>
        </w:rPr>
        <w:t>②承包人在进场后应及时编制施工预算予以对照，对工程量偏差的事项提出变更。但变更事项内容应准确可靠，经审批的变更事项一般不得再次申报。</w:t>
      </w:r>
    </w:p>
    <w:p>
      <w:pPr>
        <w:pStyle w:val="28"/>
        <w:spacing w:line="312" w:lineRule="auto"/>
        <w:ind w:firstLine="480" w:firstLineChars="200"/>
        <w:rPr>
          <w:rFonts w:ascii="宋体" w:hAnsi="宋体" w:eastAsia="宋体"/>
          <w:sz w:val="24"/>
        </w:rPr>
      </w:pPr>
      <w:r>
        <w:rPr>
          <w:rFonts w:hint="eastAsia" w:ascii="宋体" w:hAnsi="宋体" w:eastAsia="宋体"/>
          <w:sz w:val="24"/>
        </w:rPr>
        <w:t>③承包人报批的施工方案应完善合理，方案批准后原则上不得调整方案增加措施费用。</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22）承包人已经考虑在夜间施工不能得到有关部门批准的因素而合理安排施工工期；施工期间必须保证不影响周边居民正常生活。</w:t>
      </w:r>
    </w:p>
    <w:p>
      <w:pPr>
        <w:pStyle w:val="28"/>
        <w:spacing w:line="312" w:lineRule="auto"/>
        <w:rPr>
          <w:rFonts w:ascii="宋体" w:hAnsi="宋体" w:eastAsia="宋体"/>
          <w:sz w:val="24"/>
        </w:rPr>
      </w:pPr>
      <w:r>
        <w:rPr>
          <w:rFonts w:hint="eastAsia" w:ascii="宋体" w:hAnsi="宋体" w:eastAsia="宋体"/>
          <w:sz w:val="24"/>
        </w:rPr>
        <w:t>（</w:t>
      </w:r>
      <w:r>
        <w:rPr>
          <w:rFonts w:ascii="宋体" w:hAnsi="宋体" w:eastAsia="宋体"/>
          <w:sz w:val="24"/>
        </w:rPr>
        <w:t>23）承包人必须按响应文件中的人员、设备安排进驻施工现场，并在进场的同时将项目管理层的人员分工和机构设置报告交给发包人，发包人将根据响应文件中的人员清单进行检查。</w:t>
      </w:r>
    </w:p>
    <w:p>
      <w:pPr>
        <w:pStyle w:val="28"/>
        <w:spacing w:line="312" w:lineRule="auto"/>
        <w:rPr>
          <w:rFonts w:ascii="宋体" w:hAnsi="宋体" w:eastAsia="宋体"/>
          <w:b/>
          <w:bCs/>
          <w:sz w:val="24"/>
        </w:rPr>
      </w:pPr>
      <w:r>
        <w:rPr>
          <w:rFonts w:hint="eastAsia" w:ascii="宋体" w:hAnsi="宋体" w:eastAsia="宋体"/>
          <w:b/>
          <w:bCs/>
          <w:sz w:val="24"/>
        </w:rPr>
        <w:t>（</w:t>
      </w:r>
      <w:r>
        <w:rPr>
          <w:rFonts w:ascii="宋体" w:hAnsi="宋体" w:eastAsia="宋体"/>
          <w:b/>
          <w:bCs/>
          <w:sz w:val="24"/>
        </w:rPr>
        <w:t>24）承包人须保证投入机械设备能满足本工程施工的需求，并根据工程的实际需要无条件增派相关设备，否则一经发现实际到场设备不满足实际要求，发包人有权在合同款中扣除5000元/日的违约金。</w:t>
      </w:r>
    </w:p>
    <w:p>
      <w:pPr>
        <w:pStyle w:val="28"/>
        <w:widowControl/>
        <w:spacing w:line="312" w:lineRule="auto"/>
        <w:ind w:left="47"/>
        <w:rPr>
          <w:rFonts w:ascii="宋体" w:hAnsi="宋体" w:eastAsia="宋体"/>
          <w:b/>
          <w:bCs/>
          <w:kern w:val="0"/>
          <w:sz w:val="24"/>
        </w:rPr>
      </w:pPr>
      <w:r>
        <w:rPr>
          <w:rFonts w:hint="eastAsia" w:ascii="宋体" w:hAnsi="宋体" w:eastAsia="宋体"/>
          <w:b/>
          <w:bCs/>
          <w:kern w:val="0"/>
          <w:sz w:val="24"/>
        </w:rPr>
        <w:t>（</w:t>
      </w:r>
      <w:r>
        <w:rPr>
          <w:rFonts w:ascii="宋体" w:hAnsi="宋体" w:eastAsia="宋体"/>
          <w:b/>
          <w:bCs/>
          <w:kern w:val="0"/>
          <w:sz w:val="24"/>
        </w:rPr>
        <w:t>25）承包人必须做好现场交通疏导、在工地现场设置安全标志和交通导引指示牌。工地现场须进行围挡屏蔽。上述所产生的费用已包含或视为已包含在合同总价中，发包人不予额外支付任何费用。</w:t>
      </w:r>
    </w:p>
    <w:p>
      <w:pPr>
        <w:pStyle w:val="28"/>
        <w:widowControl/>
        <w:spacing w:line="312" w:lineRule="auto"/>
        <w:ind w:left="47"/>
        <w:rPr>
          <w:rFonts w:ascii="宋体" w:hAnsi="宋体" w:eastAsia="宋体"/>
          <w:b/>
          <w:bCs/>
          <w:kern w:val="0"/>
          <w:sz w:val="24"/>
        </w:rPr>
      </w:pPr>
      <w:r>
        <w:rPr>
          <w:rFonts w:hint="eastAsia" w:ascii="宋体" w:hAnsi="宋体" w:eastAsia="宋体"/>
          <w:b/>
          <w:bCs/>
          <w:kern w:val="0"/>
          <w:sz w:val="24"/>
        </w:rPr>
        <w:t>（</w:t>
      </w:r>
      <w:r>
        <w:rPr>
          <w:rFonts w:ascii="宋体" w:hAnsi="宋体" w:eastAsia="宋体"/>
          <w:b/>
          <w:bCs/>
          <w:kern w:val="0"/>
          <w:sz w:val="24"/>
        </w:rPr>
        <w:t>26）与本工程施工有关的各种手续费（规定由发包人支付的除外），包括但不限于铁路、交通、航道、海事、水务、水利、建设、电力、通讯、公用事业、环保等部门可能发生的措施费用、手续费用，均应包含或视为已包含在合同总价中（合同另有规定的除外），发包人不再另行支付。</w:t>
      </w:r>
    </w:p>
    <w:p>
      <w:pPr>
        <w:pStyle w:val="28"/>
        <w:spacing w:line="312" w:lineRule="auto"/>
        <w:rPr>
          <w:rFonts w:ascii="宋体" w:hAnsi="宋体" w:eastAsia="宋体"/>
          <w:b/>
          <w:bCs/>
          <w:sz w:val="24"/>
        </w:rPr>
      </w:pPr>
      <w:r>
        <w:rPr>
          <w:rFonts w:hint="eastAsia" w:ascii="宋体" w:hAnsi="宋体" w:eastAsia="宋体"/>
          <w:b/>
          <w:bCs/>
          <w:sz w:val="24"/>
        </w:rPr>
        <w:t>（</w:t>
      </w:r>
      <w:r>
        <w:rPr>
          <w:rFonts w:ascii="宋体" w:hAnsi="宋体" w:eastAsia="宋体"/>
          <w:b/>
          <w:bCs/>
          <w:sz w:val="24"/>
        </w:rPr>
        <w:t>27）施工范围内的清淤、清表、树木迁移（迁移到采购人指定位置，养护时间为3个月（如工程量清单有约定，以工程量清单约定为准）、临时道路由承包人负责，产生的相关费用已包含在合同价中。</w:t>
      </w:r>
    </w:p>
    <w:p>
      <w:pPr>
        <w:pStyle w:val="28"/>
        <w:spacing w:line="312" w:lineRule="auto"/>
        <w:rPr>
          <w:rFonts w:ascii="宋体" w:hAnsi="宋体" w:eastAsia="宋体"/>
          <w:b/>
          <w:bCs/>
          <w:sz w:val="24"/>
        </w:rPr>
      </w:pPr>
      <w:r>
        <w:rPr>
          <w:rFonts w:hint="eastAsia" w:ascii="宋体" w:hAnsi="宋体" w:eastAsia="宋体"/>
          <w:b/>
          <w:bCs/>
          <w:sz w:val="24"/>
        </w:rPr>
        <w:t>（</w:t>
      </w:r>
      <w:r>
        <w:rPr>
          <w:rFonts w:ascii="宋体" w:hAnsi="宋体" w:eastAsia="宋体"/>
          <w:b/>
          <w:bCs/>
          <w:sz w:val="24"/>
        </w:rPr>
        <w:t>28）本工程如因征地清赔情况未完成导致停工不作补偿相关费用。</w:t>
      </w:r>
    </w:p>
    <w:p>
      <w:pPr>
        <w:pStyle w:val="28"/>
        <w:spacing w:line="360" w:lineRule="auto"/>
        <w:jc w:val="left"/>
        <w:rPr>
          <w:rFonts w:ascii="宋体" w:hAnsi="宋体" w:eastAsia="宋体"/>
          <w:b/>
          <w:sz w:val="24"/>
        </w:rPr>
      </w:pPr>
      <w:r>
        <w:rPr>
          <w:rFonts w:ascii="宋体" w:hAnsi="宋体" w:eastAsia="宋体"/>
          <w:b/>
          <w:bCs/>
          <w:sz w:val="32"/>
          <w:szCs w:val="32"/>
        </w:rPr>
        <w:br w:type="page"/>
      </w:r>
      <w:r>
        <w:rPr>
          <w:rFonts w:hint="eastAsia" w:ascii="宋体" w:hAnsi="宋体" w:eastAsia="宋体"/>
          <w:b/>
          <w:sz w:val="24"/>
        </w:rPr>
        <w:t>附件</w:t>
      </w:r>
    </w:p>
    <w:p>
      <w:pPr>
        <w:pStyle w:val="28"/>
        <w:spacing w:line="360" w:lineRule="auto"/>
        <w:jc w:val="left"/>
        <w:rPr>
          <w:rFonts w:ascii="宋体" w:hAnsi="宋体" w:eastAsia="宋体"/>
          <w:sz w:val="24"/>
        </w:rPr>
      </w:pPr>
      <w:r>
        <w:rPr>
          <w:rFonts w:hint="eastAsia" w:ascii="宋体" w:hAnsi="宋体" w:eastAsia="宋体"/>
          <w:sz w:val="24"/>
        </w:rPr>
        <w:t>协议书附件：</w:t>
      </w:r>
    </w:p>
    <w:p>
      <w:pPr>
        <w:pStyle w:val="28"/>
        <w:spacing w:line="360" w:lineRule="auto"/>
        <w:jc w:val="left"/>
        <w:rPr>
          <w:rFonts w:ascii="宋体" w:hAnsi="宋体" w:eastAsia="宋体"/>
          <w:sz w:val="24"/>
        </w:rPr>
      </w:pPr>
      <w:r>
        <w:rPr>
          <w:rFonts w:hint="eastAsia" w:ascii="宋体" w:hAnsi="宋体" w:eastAsia="宋体"/>
          <w:sz w:val="24"/>
        </w:rPr>
        <w:t>附件</w:t>
      </w:r>
      <w:r>
        <w:rPr>
          <w:rFonts w:ascii="宋体" w:hAnsi="宋体" w:eastAsia="宋体"/>
          <w:sz w:val="24"/>
        </w:rPr>
        <w:t>1：廉政合同</w:t>
      </w:r>
    </w:p>
    <w:p>
      <w:pPr>
        <w:pStyle w:val="28"/>
        <w:spacing w:line="360" w:lineRule="auto"/>
        <w:jc w:val="left"/>
        <w:rPr>
          <w:rFonts w:ascii="宋体" w:hAnsi="宋体" w:eastAsia="宋体"/>
          <w:sz w:val="24"/>
        </w:rPr>
      </w:pPr>
      <w:r>
        <w:rPr>
          <w:rFonts w:hint="eastAsia" w:ascii="宋体" w:hAnsi="宋体" w:eastAsia="宋体"/>
          <w:sz w:val="24"/>
        </w:rPr>
        <w:t>附件</w:t>
      </w:r>
      <w:r>
        <w:rPr>
          <w:rFonts w:ascii="宋体" w:hAnsi="宋体" w:eastAsia="宋体"/>
          <w:sz w:val="24"/>
        </w:rPr>
        <w:t>2：工程质量保修书</w:t>
      </w:r>
    </w:p>
    <w:p>
      <w:pPr>
        <w:pStyle w:val="28"/>
        <w:spacing w:line="360" w:lineRule="auto"/>
        <w:jc w:val="left"/>
        <w:rPr>
          <w:rFonts w:ascii="宋体" w:hAnsi="宋体" w:eastAsia="宋体"/>
          <w:sz w:val="24"/>
        </w:rPr>
      </w:pPr>
      <w:r>
        <w:rPr>
          <w:rFonts w:hint="eastAsia" w:ascii="宋体" w:hAnsi="宋体" w:eastAsia="宋体"/>
          <w:sz w:val="24"/>
        </w:rPr>
        <w:t>附件</w:t>
      </w:r>
      <w:r>
        <w:rPr>
          <w:rFonts w:ascii="宋体" w:hAnsi="宋体" w:eastAsia="宋体"/>
          <w:sz w:val="24"/>
        </w:rPr>
        <w:t>3：承包人用于本工程施工的机械设备表</w:t>
      </w:r>
    </w:p>
    <w:p>
      <w:pPr>
        <w:pStyle w:val="28"/>
        <w:spacing w:line="360" w:lineRule="auto"/>
        <w:jc w:val="left"/>
        <w:rPr>
          <w:rFonts w:ascii="宋体" w:hAnsi="宋体" w:eastAsia="宋体"/>
          <w:sz w:val="24"/>
        </w:rPr>
      </w:pPr>
      <w:r>
        <w:rPr>
          <w:rFonts w:hint="eastAsia" w:ascii="宋体" w:hAnsi="宋体" w:eastAsia="宋体"/>
          <w:sz w:val="24"/>
        </w:rPr>
        <w:t>附件</w:t>
      </w:r>
      <w:r>
        <w:rPr>
          <w:rFonts w:ascii="宋体" w:hAnsi="宋体" w:eastAsia="宋体"/>
          <w:sz w:val="24"/>
        </w:rPr>
        <w:t>4：承包人主要施工管理人员表</w:t>
      </w:r>
    </w:p>
    <w:p>
      <w:pPr>
        <w:pStyle w:val="28"/>
        <w:spacing w:line="360" w:lineRule="auto"/>
        <w:jc w:val="left"/>
        <w:rPr>
          <w:rFonts w:ascii="宋体" w:hAnsi="宋体" w:eastAsia="宋体"/>
          <w:sz w:val="24"/>
        </w:rPr>
      </w:pPr>
      <w:r>
        <w:rPr>
          <w:rFonts w:hint="eastAsia" w:ascii="宋体" w:hAnsi="宋体" w:eastAsia="宋体"/>
          <w:sz w:val="24"/>
        </w:rPr>
        <w:t>附件</w:t>
      </w:r>
      <w:r>
        <w:rPr>
          <w:rFonts w:ascii="宋体" w:hAnsi="宋体" w:eastAsia="宋体"/>
          <w:sz w:val="24"/>
        </w:rPr>
        <w:t>5：承包人违约金一览表</w:t>
      </w:r>
    </w:p>
    <w:p>
      <w:pPr>
        <w:pStyle w:val="28"/>
        <w:spacing w:line="360" w:lineRule="auto"/>
        <w:jc w:val="left"/>
        <w:rPr>
          <w:rFonts w:ascii="宋体" w:hAnsi="宋体" w:eastAsia="宋体"/>
          <w:sz w:val="24"/>
        </w:rPr>
      </w:pPr>
      <w:r>
        <w:rPr>
          <w:rFonts w:hint="eastAsia" w:ascii="宋体" w:hAnsi="宋体" w:eastAsia="宋体"/>
          <w:sz w:val="24"/>
        </w:rPr>
        <w:t>附件</w:t>
      </w:r>
      <w:r>
        <w:rPr>
          <w:rFonts w:ascii="宋体" w:hAnsi="宋体" w:eastAsia="宋体"/>
          <w:sz w:val="24"/>
        </w:rPr>
        <w:t>6：工程质量及文明施工处罚一览表</w:t>
      </w:r>
    </w:p>
    <w:p>
      <w:pPr>
        <w:pStyle w:val="28"/>
        <w:spacing w:line="360" w:lineRule="auto"/>
        <w:jc w:val="left"/>
        <w:rPr>
          <w:rFonts w:ascii="宋体" w:hAnsi="宋体" w:eastAsia="宋体"/>
          <w:sz w:val="24"/>
        </w:rPr>
      </w:pPr>
      <w:r>
        <w:rPr>
          <w:rFonts w:hint="eastAsia" w:ascii="宋体" w:hAnsi="宋体" w:eastAsia="宋体"/>
          <w:sz w:val="24"/>
        </w:rPr>
        <w:t>附件</w:t>
      </w:r>
      <w:r>
        <w:rPr>
          <w:rFonts w:ascii="宋体" w:hAnsi="宋体" w:eastAsia="宋体"/>
          <w:sz w:val="24"/>
        </w:rPr>
        <w:t>7：安全生产违章处罚标准</w:t>
      </w:r>
    </w:p>
    <w:p>
      <w:pPr>
        <w:pStyle w:val="28"/>
        <w:adjustRightInd w:val="0"/>
        <w:spacing w:line="420" w:lineRule="atLeast"/>
        <w:jc w:val="left"/>
        <w:rPr>
          <w:rFonts w:ascii="宋体" w:hAnsi="宋体" w:eastAsia="宋体"/>
          <w:kern w:val="0"/>
          <w:sz w:val="24"/>
        </w:rPr>
      </w:pPr>
      <w:r>
        <w:rPr>
          <w:rFonts w:hint="eastAsia" w:ascii="宋体" w:hAnsi="宋体" w:eastAsia="宋体"/>
          <w:kern w:val="0"/>
          <w:sz w:val="24"/>
        </w:rPr>
        <w:t>附件</w:t>
      </w:r>
      <w:r>
        <w:rPr>
          <w:rFonts w:ascii="宋体" w:hAnsi="宋体" w:eastAsia="宋体"/>
          <w:kern w:val="0"/>
          <w:sz w:val="24"/>
        </w:rPr>
        <w:t>8：按时支付工程人工资承诺书</w:t>
      </w:r>
    </w:p>
    <w:p>
      <w:pPr>
        <w:pStyle w:val="28"/>
        <w:widowControl/>
        <w:spacing w:after="150" w:line="360" w:lineRule="auto"/>
        <w:ind w:firstLine="420" w:firstLineChars="175"/>
        <w:jc w:val="left"/>
        <w:rPr>
          <w:rFonts w:ascii="宋体" w:hAnsi="宋体" w:eastAsia="宋体"/>
          <w:b/>
          <w:bCs/>
          <w:sz w:val="24"/>
        </w:rPr>
      </w:pPr>
      <w:r>
        <w:rPr>
          <w:rFonts w:ascii="宋体" w:hAnsi="宋体" w:eastAsia="宋体"/>
          <w:sz w:val="24"/>
        </w:rPr>
        <w:br w:type="page"/>
      </w:r>
      <w:r>
        <w:rPr>
          <w:rFonts w:hint="eastAsia" w:ascii="宋体" w:hAnsi="宋体" w:eastAsia="宋体"/>
          <w:b/>
          <w:bCs/>
          <w:sz w:val="24"/>
        </w:rPr>
        <w:t>附件</w:t>
      </w:r>
      <w:r>
        <w:rPr>
          <w:rFonts w:ascii="宋体" w:hAnsi="宋体" w:eastAsia="宋体"/>
          <w:b/>
          <w:bCs/>
          <w:sz w:val="24"/>
        </w:rPr>
        <w:t>1：</w:t>
      </w:r>
    </w:p>
    <w:p>
      <w:pPr>
        <w:pStyle w:val="28"/>
        <w:widowControl/>
        <w:spacing w:after="150" w:line="360" w:lineRule="auto"/>
        <w:ind w:firstLine="492" w:firstLineChars="175"/>
        <w:jc w:val="center"/>
        <w:rPr>
          <w:rFonts w:ascii="宋体" w:hAnsi="宋体" w:eastAsia="宋体"/>
          <w:b/>
          <w:sz w:val="24"/>
        </w:rPr>
      </w:pPr>
      <w:r>
        <w:rPr>
          <w:rFonts w:hint="eastAsia" w:ascii="宋体" w:hAnsi="宋体" w:eastAsia="宋体"/>
          <w:b/>
          <w:sz w:val="28"/>
        </w:rPr>
        <w:t>廉政合同</w:t>
      </w:r>
    </w:p>
    <w:p>
      <w:pPr>
        <w:pStyle w:val="28"/>
        <w:widowControl/>
        <w:spacing w:line="360" w:lineRule="auto"/>
        <w:ind w:firstLine="561"/>
        <w:jc w:val="left"/>
        <w:rPr>
          <w:rFonts w:ascii="宋体" w:hAnsi="宋体" w:eastAsia="宋体"/>
          <w:sz w:val="24"/>
          <w:u w:val="single"/>
        </w:rPr>
      </w:pPr>
      <w:r>
        <w:rPr>
          <w:rFonts w:hint="eastAsia" w:ascii="宋体" w:hAnsi="宋体" w:eastAsia="宋体"/>
          <w:kern w:val="0"/>
          <w:sz w:val="24"/>
        </w:rPr>
        <w:t>根据国家、省工程建设和廉政建设的有关规定，为做好合同工程的廉政建设，保证工程质量与施工安全，提高建设资金的有效使用和投资效益，发包人承包人就加强合同工程的廉政建设，</w:t>
      </w:r>
      <w:r>
        <w:rPr>
          <w:rFonts w:hint="eastAsia" w:ascii="宋体" w:hAnsi="宋体" w:eastAsia="宋体"/>
          <w:sz w:val="24"/>
        </w:rPr>
        <w:t>发包人</w:t>
      </w:r>
      <w:r>
        <w:rPr>
          <w:rFonts w:hint="eastAsia" w:ascii="宋体" w:hAnsi="宋体" w:eastAsia="宋体"/>
          <w:bCs/>
          <w:sz w:val="24"/>
          <w:u w:val="single"/>
        </w:rPr>
        <w:t>佛山市三水海江怡乐建设投资有限公司</w:t>
      </w:r>
      <w:r>
        <w:rPr>
          <w:rFonts w:hint="eastAsia" w:ascii="宋体" w:hAnsi="宋体" w:eastAsia="宋体"/>
          <w:sz w:val="24"/>
        </w:rPr>
        <w:t>（以下称发包人）与承包人（以下称承包人），特订立如下合同。</w:t>
      </w:r>
    </w:p>
    <w:p>
      <w:pPr>
        <w:pStyle w:val="28"/>
        <w:tabs>
          <w:tab w:val="left" w:pos="1080"/>
        </w:tabs>
        <w:spacing w:line="360" w:lineRule="auto"/>
        <w:ind w:firstLine="422"/>
        <w:rPr>
          <w:rFonts w:ascii="宋体" w:hAnsi="宋体" w:eastAsia="宋体"/>
          <w:b/>
          <w:sz w:val="24"/>
        </w:rPr>
      </w:pPr>
      <w:r>
        <w:rPr>
          <w:rFonts w:hint="eastAsia" w:ascii="宋体" w:hAnsi="宋体" w:eastAsia="宋体"/>
          <w:b/>
          <w:sz w:val="24"/>
        </w:rPr>
        <w:t>第一条双方的权利和义务</w:t>
      </w:r>
    </w:p>
    <w:p>
      <w:pPr>
        <w:pStyle w:val="28"/>
        <w:spacing w:line="360" w:lineRule="auto"/>
        <w:ind w:firstLine="420"/>
        <w:rPr>
          <w:rFonts w:ascii="宋体" w:hAnsi="宋体" w:eastAsia="宋体"/>
          <w:sz w:val="24"/>
        </w:rPr>
      </w:pPr>
      <w:r>
        <w:rPr>
          <w:rFonts w:hint="eastAsia" w:ascii="宋体" w:hAnsi="宋体" w:eastAsia="宋体"/>
          <w:sz w:val="24"/>
        </w:rPr>
        <w:t>（一）严格遵守党和国家有关法律法规的有关廉政规定。</w:t>
      </w:r>
    </w:p>
    <w:p>
      <w:pPr>
        <w:pStyle w:val="28"/>
        <w:spacing w:line="360" w:lineRule="auto"/>
        <w:ind w:firstLine="420"/>
        <w:rPr>
          <w:rFonts w:ascii="宋体" w:hAnsi="宋体" w:eastAsia="宋体"/>
          <w:sz w:val="24"/>
        </w:rPr>
      </w:pPr>
      <w:r>
        <w:rPr>
          <w:rFonts w:hint="eastAsia" w:ascii="宋体" w:hAnsi="宋体" w:eastAsia="宋体"/>
          <w:sz w:val="24"/>
        </w:rPr>
        <w:t>（二）严格执行乐平镇工业园区三丫涌桥工程的合同文件，自觉按合同办事。</w:t>
      </w:r>
    </w:p>
    <w:p>
      <w:pPr>
        <w:pStyle w:val="28"/>
        <w:spacing w:line="360" w:lineRule="auto"/>
        <w:ind w:firstLine="420"/>
        <w:rPr>
          <w:rFonts w:ascii="宋体" w:hAnsi="宋体" w:eastAsia="宋体"/>
          <w:sz w:val="24"/>
        </w:rPr>
      </w:pPr>
      <w:r>
        <w:rPr>
          <w:rFonts w:hint="eastAsia" w:ascii="宋体" w:hAnsi="宋体" w:eastAsia="宋体"/>
          <w:sz w:val="24"/>
        </w:rPr>
        <w:t>（三）双方的业务活动坚持公开、公正、诚信、透明的原则</w:t>
      </w:r>
      <w:r>
        <w:rPr>
          <w:rFonts w:ascii="宋体" w:hAnsi="宋体" w:eastAsia="宋体"/>
          <w:sz w:val="24"/>
        </w:rPr>
        <w:t>(除法律认定的商业秘密和合同文件另有规定之外)，不得损害国家和集体利益，违反工程建设管理规章制度。</w:t>
      </w:r>
    </w:p>
    <w:p>
      <w:pPr>
        <w:pStyle w:val="28"/>
        <w:spacing w:line="360" w:lineRule="auto"/>
        <w:ind w:firstLine="420"/>
        <w:rPr>
          <w:rFonts w:ascii="宋体" w:hAnsi="宋体" w:eastAsia="宋体"/>
          <w:sz w:val="24"/>
        </w:rPr>
      </w:pPr>
      <w:r>
        <w:rPr>
          <w:rFonts w:hint="eastAsia" w:ascii="宋体" w:hAnsi="宋体" w:eastAsia="宋体"/>
          <w:sz w:val="24"/>
        </w:rPr>
        <w:t>（四）建立健全廉政制度，开展廉政教育，设立廉政告示牌，公布举报电话，监督并认真查处违法违纪行为。</w:t>
      </w:r>
    </w:p>
    <w:p>
      <w:pPr>
        <w:pStyle w:val="28"/>
        <w:spacing w:line="360" w:lineRule="auto"/>
        <w:ind w:firstLine="420"/>
        <w:rPr>
          <w:rFonts w:ascii="宋体" w:hAnsi="宋体" w:eastAsia="宋体"/>
          <w:sz w:val="24"/>
        </w:rPr>
      </w:pPr>
      <w:r>
        <w:rPr>
          <w:rFonts w:hint="eastAsia" w:ascii="宋体" w:hAnsi="宋体" w:eastAsia="宋体"/>
          <w:sz w:val="24"/>
        </w:rPr>
        <w:t>（五）发现对方在业务活动中有违反廉政规定的行为，有及时提醒对方纠正的权利和义务。</w:t>
      </w:r>
    </w:p>
    <w:p>
      <w:pPr>
        <w:pStyle w:val="28"/>
        <w:spacing w:line="360" w:lineRule="auto"/>
        <w:ind w:firstLine="420"/>
        <w:rPr>
          <w:rFonts w:ascii="宋体" w:hAnsi="宋体" w:eastAsia="宋体"/>
          <w:sz w:val="24"/>
        </w:rPr>
      </w:pPr>
      <w:r>
        <w:rPr>
          <w:rFonts w:hint="eastAsia" w:ascii="宋体" w:hAnsi="宋体" w:eastAsia="宋体"/>
          <w:sz w:val="24"/>
        </w:rPr>
        <w:t>（六）发现对方严重违反本合同义务条款的行为，有向其上级有关部门举报、建议给予处理并要求告知处理结果的权利。</w:t>
      </w:r>
    </w:p>
    <w:p>
      <w:pPr>
        <w:pStyle w:val="28"/>
        <w:tabs>
          <w:tab w:val="left" w:pos="1080"/>
        </w:tabs>
        <w:spacing w:line="360" w:lineRule="auto"/>
        <w:ind w:firstLine="422"/>
        <w:rPr>
          <w:rFonts w:ascii="宋体" w:hAnsi="宋体" w:eastAsia="宋体"/>
          <w:b/>
          <w:sz w:val="24"/>
        </w:rPr>
      </w:pPr>
      <w:r>
        <w:rPr>
          <w:rFonts w:hint="eastAsia" w:ascii="宋体" w:hAnsi="宋体" w:eastAsia="宋体"/>
          <w:b/>
          <w:sz w:val="24"/>
        </w:rPr>
        <w:t>第二条发包人的义务</w:t>
      </w:r>
    </w:p>
    <w:p>
      <w:pPr>
        <w:pStyle w:val="28"/>
        <w:spacing w:line="360" w:lineRule="auto"/>
        <w:ind w:firstLine="420"/>
        <w:rPr>
          <w:rFonts w:ascii="宋体" w:hAnsi="宋体" w:eastAsia="宋体"/>
          <w:sz w:val="24"/>
        </w:rPr>
      </w:pPr>
      <w:r>
        <w:rPr>
          <w:rFonts w:hint="eastAsia" w:ascii="宋体" w:hAnsi="宋体" w:eastAsia="宋体"/>
          <w:sz w:val="24"/>
        </w:rPr>
        <w:t>（一）发包人及其工作人员不得索要或接受承包人的礼金、有价证券和贵重物品，不得在承包人报销任何应由发包人或个人支付的费用。</w:t>
      </w:r>
    </w:p>
    <w:p>
      <w:pPr>
        <w:pStyle w:val="28"/>
        <w:spacing w:line="360" w:lineRule="auto"/>
        <w:ind w:firstLine="420"/>
        <w:rPr>
          <w:rFonts w:ascii="宋体" w:hAnsi="宋体" w:eastAsia="宋体"/>
          <w:sz w:val="24"/>
        </w:rPr>
      </w:pPr>
      <w:r>
        <w:rPr>
          <w:rFonts w:hint="eastAsia" w:ascii="宋体" w:hAnsi="宋体" w:eastAsia="宋体"/>
          <w:sz w:val="24"/>
        </w:rPr>
        <w:t>（二）发包人工作人员不得参加承包人安排的高消费宴请和娱乐活动；不得接受承包人提供的通讯工具、交通工具和高档办公用品。</w:t>
      </w:r>
    </w:p>
    <w:p>
      <w:pPr>
        <w:pStyle w:val="28"/>
        <w:spacing w:line="360" w:lineRule="auto"/>
        <w:ind w:firstLine="420"/>
        <w:rPr>
          <w:rFonts w:ascii="宋体" w:hAnsi="宋体" w:eastAsia="宋体"/>
          <w:sz w:val="24"/>
        </w:rPr>
      </w:pPr>
      <w:r>
        <w:rPr>
          <w:rFonts w:hint="eastAsia" w:ascii="宋体" w:hAnsi="宋体" w:eastAsia="宋体"/>
          <w:sz w:val="24"/>
        </w:rPr>
        <w:t>（三）发包人及其工作人员不得要求或者接受承包人为其住房装修、婚丧嫁娶活动、配偶子女的工作安排以及出国出境、旅游等提供方便。</w:t>
      </w:r>
    </w:p>
    <w:p>
      <w:pPr>
        <w:pStyle w:val="28"/>
        <w:spacing w:line="360" w:lineRule="auto"/>
        <w:ind w:firstLine="420"/>
        <w:rPr>
          <w:rFonts w:ascii="宋体" w:hAnsi="宋体" w:eastAsia="宋体"/>
          <w:sz w:val="24"/>
        </w:rPr>
      </w:pPr>
      <w:r>
        <w:rPr>
          <w:rFonts w:hint="eastAsia" w:ascii="宋体" w:hAnsi="宋体" w:eastAsia="宋体"/>
          <w:sz w:val="24"/>
        </w:rPr>
        <w:t>（四）发包人工作人员的配偶、子女及亲属不得从事与发包人工程有关的分包项目。</w:t>
      </w:r>
    </w:p>
    <w:p>
      <w:pPr>
        <w:pStyle w:val="28"/>
        <w:tabs>
          <w:tab w:val="left" w:pos="1080"/>
        </w:tabs>
        <w:spacing w:line="360" w:lineRule="auto"/>
        <w:ind w:firstLine="422"/>
        <w:rPr>
          <w:rFonts w:ascii="宋体" w:hAnsi="宋体" w:eastAsia="宋体"/>
          <w:b/>
          <w:sz w:val="24"/>
        </w:rPr>
      </w:pPr>
      <w:r>
        <w:rPr>
          <w:rFonts w:hint="eastAsia" w:ascii="宋体" w:hAnsi="宋体" w:eastAsia="宋体"/>
          <w:b/>
          <w:sz w:val="24"/>
        </w:rPr>
        <w:t>第三条承包人义务</w:t>
      </w:r>
    </w:p>
    <w:p>
      <w:pPr>
        <w:pStyle w:val="28"/>
        <w:spacing w:line="360" w:lineRule="auto"/>
        <w:ind w:firstLine="420"/>
        <w:rPr>
          <w:rFonts w:ascii="宋体" w:hAnsi="宋体" w:eastAsia="宋体"/>
          <w:sz w:val="24"/>
        </w:rPr>
      </w:pPr>
      <w:r>
        <w:rPr>
          <w:rFonts w:hint="eastAsia" w:ascii="宋体" w:hAnsi="宋体" w:eastAsia="宋体"/>
          <w:sz w:val="24"/>
        </w:rPr>
        <w:t>（一）承包人不得以任何理由向发包人及其工作人员馈赠礼金、有价证券、贵重礼品。</w:t>
      </w:r>
    </w:p>
    <w:p>
      <w:pPr>
        <w:pStyle w:val="28"/>
        <w:spacing w:line="360" w:lineRule="auto"/>
        <w:ind w:firstLine="420"/>
        <w:rPr>
          <w:rFonts w:ascii="宋体" w:hAnsi="宋体" w:eastAsia="宋体"/>
          <w:sz w:val="24"/>
        </w:rPr>
      </w:pPr>
      <w:r>
        <w:rPr>
          <w:rFonts w:hint="eastAsia" w:ascii="宋体" w:hAnsi="宋体" w:eastAsia="宋体"/>
          <w:sz w:val="24"/>
        </w:rPr>
        <w:t>（二）承包人不得以任何名义为发包人及其工作人员报销应由发包人单位或个人支付的任何费用。</w:t>
      </w:r>
    </w:p>
    <w:p>
      <w:pPr>
        <w:pStyle w:val="28"/>
        <w:spacing w:line="360" w:lineRule="auto"/>
        <w:ind w:firstLine="420"/>
        <w:rPr>
          <w:rFonts w:ascii="宋体" w:hAnsi="宋体" w:eastAsia="宋体"/>
          <w:sz w:val="24"/>
        </w:rPr>
      </w:pPr>
      <w:r>
        <w:rPr>
          <w:rFonts w:hint="eastAsia" w:ascii="宋体" w:hAnsi="宋体" w:eastAsia="宋体"/>
          <w:sz w:val="24"/>
        </w:rPr>
        <w:t>（三）承包人不得以任何理由安排发包人工作人员参加高消费宴请及娱乐活动。</w:t>
      </w:r>
    </w:p>
    <w:p>
      <w:pPr>
        <w:pStyle w:val="28"/>
        <w:spacing w:line="360" w:lineRule="auto"/>
        <w:ind w:firstLine="420"/>
        <w:rPr>
          <w:rFonts w:ascii="宋体" w:hAnsi="宋体" w:eastAsia="宋体"/>
          <w:sz w:val="24"/>
        </w:rPr>
      </w:pPr>
      <w:r>
        <w:rPr>
          <w:rFonts w:hint="eastAsia" w:ascii="宋体" w:hAnsi="宋体" w:eastAsia="宋体"/>
          <w:sz w:val="24"/>
        </w:rPr>
        <w:t>（四）承包人不得为发包人单位和个人购置或提供通讯工具、交通工具和高档办公用品等。</w:t>
      </w:r>
    </w:p>
    <w:p>
      <w:pPr>
        <w:pStyle w:val="28"/>
        <w:spacing w:line="360" w:lineRule="auto"/>
        <w:ind w:firstLine="420"/>
        <w:rPr>
          <w:rFonts w:ascii="宋体" w:hAnsi="宋体" w:eastAsia="宋体"/>
          <w:sz w:val="24"/>
        </w:rPr>
      </w:pPr>
      <w:r>
        <w:rPr>
          <w:rFonts w:hint="eastAsia" w:ascii="宋体" w:hAnsi="宋体" w:eastAsia="宋体"/>
          <w:sz w:val="24"/>
        </w:rPr>
        <w:t>（五）承包人及其工作人员不得索取或接受施工单位的礼金、有价证券和贵重物品，不得在施工单位报销任何应由承包人或个人支付的费用。</w:t>
      </w:r>
    </w:p>
    <w:p>
      <w:pPr>
        <w:pStyle w:val="28"/>
        <w:spacing w:line="360" w:lineRule="auto"/>
        <w:ind w:firstLine="420"/>
        <w:rPr>
          <w:rFonts w:ascii="宋体" w:hAnsi="宋体" w:eastAsia="宋体"/>
          <w:sz w:val="24"/>
        </w:rPr>
      </w:pPr>
      <w:r>
        <w:rPr>
          <w:rFonts w:hint="eastAsia" w:ascii="宋体" w:hAnsi="宋体" w:eastAsia="宋体"/>
          <w:sz w:val="24"/>
        </w:rPr>
        <w:t>（六）承包人及其工作人员不得要求和接受施工单位为其住房装修、婚丧嫁娶活动、配偶子女的工作安排以及出国出境、旅游等提供方便。</w:t>
      </w:r>
    </w:p>
    <w:p>
      <w:pPr>
        <w:pStyle w:val="28"/>
        <w:spacing w:line="360" w:lineRule="auto"/>
        <w:ind w:firstLine="420"/>
        <w:rPr>
          <w:rFonts w:ascii="宋体" w:hAnsi="宋体" w:eastAsia="宋体"/>
          <w:sz w:val="24"/>
        </w:rPr>
      </w:pPr>
      <w:r>
        <w:rPr>
          <w:rFonts w:hint="eastAsia" w:ascii="宋体" w:hAnsi="宋体" w:eastAsia="宋体"/>
          <w:sz w:val="24"/>
        </w:rPr>
        <w:t>（七）承包人及其工作人员不得参与施工单位安排的高消费宴请和娱乐活动：不得接受施工单位提供的通讯工具、交通工具和高档办公用品。</w:t>
      </w:r>
    </w:p>
    <w:p>
      <w:pPr>
        <w:pStyle w:val="28"/>
        <w:tabs>
          <w:tab w:val="left" w:pos="1080"/>
        </w:tabs>
        <w:spacing w:line="360" w:lineRule="auto"/>
        <w:ind w:firstLine="422"/>
        <w:rPr>
          <w:rFonts w:ascii="宋体" w:hAnsi="宋体" w:eastAsia="宋体"/>
          <w:b/>
          <w:sz w:val="24"/>
        </w:rPr>
      </w:pPr>
      <w:r>
        <w:rPr>
          <w:rFonts w:hint="eastAsia" w:ascii="宋体" w:hAnsi="宋体" w:eastAsia="宋体"/>
          <w:b/>
          <w:sz w:val="24"/>
        </w:rPr>
        <w:t>第四条违约责任</w:t>
      </w:r>
    </w:p>
    <w:p>
      <w:pPr>
        <w:pStyle w:val="28"/>
        <w:spacing w:line="360" w:lineRule="auto"/>
        <w:ind w:firstLine="420"/>
        <w:rPr>
          <w:rFonts w:ascii="宋体" w:hAnsi="宋体" w:eastAsia="宋体"/>
          <w:sz w:val="24"/>
        </w:rPr>
      </w:pPr>
      <w:r>
        <w:rPr>
          <w:rFonts w:hint="eastAsia" w:ascii="宋体" w:hAnsi="宋体" w:eastAsia="宋体"/>
          <w:sz w:val="24"/>
        </w:rPr>
        <w:t>（一）发包人及其工作人员违反本合同第一、二条，按管理权限，依据有关规定给予党纪、政纪或组织处理；涉嫌犯罪的，移交司法机关追究刑事责任；给承包人单位造成经济损失的，应予以赔偿。</w:t>
      </w:r>
    </w:p>
    <w:p>
      <w:pPr>
        <w:pStyle w:val="28"/>
        <w:spacing w:line="360" w:lineRule="auto"/>
        <w:ind w:firstLine="420"/>
        <w:rPr>
          <w:rFonts w:ascii="宋体" w:hAnsi="宋体" w:eastAsia="宋体"/>
          <w:sz w:val="24"/>
        </w:rPr>
      </w:pPr>
      <w:r>
        <w:rPr>
          <w:rFonts w:hint="eastAsia" w:ascii="宋体" w:hAnsi="宋体" w:eastAsia="宋体"/>
          <w:sz w:val="24"/>
        </w:rPr>
        <w:t>（二）承包人及其工作人员违反本合同第一、三、五、七条，按管理权限，依据有关规定，给予党纪、政纪或组织处理；给发包人单位造成经济损失的，应予以赔偿；情节严重的，发包人建议工程建设主管部门给予承包人一至三年内不得进入其主管的工程建设市场的处罚。</w:t>
      </w:r>
    </w:p>
    <w:p>
      <w:pPr>
        <w:pStyle w:val="28"/>
        <w:tabs>
          <w:tab w:val="left" w:pos="1080"/>
        </w:tabs>
        <w:spacing w:line="360" w:lineRule="auto"/>
        <w:ind w:firstLine="422"/>
        <w:rPr>
          <w:rFonts w:ascii="宋体" w:hAnsi="宋体" w:eastAsia="宋体"/>
          <w:b/>
          <w:sz w:val="24"/>
        </w:rPr>
      </w:pPr>
      <w:r>
        <w:rPr>
          <w:rFonts w:hint="eastAsia" w:ascii="宋体" w:hAnsi="宋体" w:eastAsia="宋体"/>
          <w:b/>
          <w:sz w:val="24"/>
        </w:rPr>
        <w:t>第五条双方约定</w:t>
      </w:r>
    </w:p>
    <w:p>
      <w:pPr>
        <w:pStyle w:val="28"/>
        <w:spacing w:line="360" w:lineRule="auto"/>
        <w:ind w:firstLine="420"/>
        <w:rPr>
          <w:rFonts w:ascii="宋体" w:hAnsi="宋体" w:eastAsia="宋体"/>
          <w:sz w:val="24"/>
        </w:rPr>
      </w:pPr>
      <w:r>
        <w:rPr>
          <w:rFonts w:hint="eastAsia" w:ascii="宋体" w:hAnsi="宋体" w:eastAsia="宋体"/>
          <w:sz w:val="24"/>
        </w:rPr>
        <w:t>本合同由双方或双方上级单位的纪检监察机关负责监督执行。由发包人或发包人上级单位的纪检监察机关约请承包人或承包人上级单位纪检监察机关对本合同执行情况进行检查；提出在本合同规定范围内的裁定意见。</w:t>
      </w:r>
    </w:p>
    <w:p>
      <w:pPr>
        <w:pStyle w:val="28"/>
        <w:tabs>
          <w:tab w:val="left" w:pos="1080"/>
        </w:tabs>
        <w:spacing w:line="360" w:lineRule="auto"/>
        <w:ind w:firstLine="422"/>
        <w:rPr>
          <w:rFonts w:ascii="宋体" w:hAnsi="宋体" w:eastAsia="宋体"/>
          <w:b/>
          <w:sz w:val="24"/>
        </w:rPr>
      </w:pPr>
      <w:r>
        <w:rPr>
          <w:rFonts w:hint="eastAsia" w:ascii="宋体" w:hAnsi="宋体" w:eastAsia="宋体"/>
          <w:b/>
          <w:sz w:val="24"/>
        </w:rPr>
        <w:t>第六条本合同有效期</w:t>
      </w:r>
    </w:p>
    <w:p>
      <w:pPr>
        <w:pStyle w:val="28"/>
        <w:tabs>
          <w:tab w:val="left" w:pos="1080"/>
        </w:tabs>
        <w:spacing w:line="360" w:lineRule="auto"/>
        <w:ind w:firstLine="420"/>
        <w:rPr>
          <w:rFonts w:ascii="宋体" w:hAnsi="宋体" w:eastAsia="宋体"/>
          <w:sz w:val="24"/>
        </w:rPr>
      </w:pPr>
      <w:r>
        <w:rPr>
          <w:rFonts w:hint="eastAsia" w:ascii="宋体" w:hAnsi="宋体" w:eastAsia="宋体"/>
          <w:sz w:val="24"/>
        </w:rPr>
        <w:t>本合同有效期为双方签署之日起至该工程项目竣工验收后止。</w:t>
      </w:r>
    </w:p>
    <w:p>
      <w:pPr>
        <w:pStyle w:val="28"/>
        <w:spacing w:line="360" w:lineRule="auto"/>
        <w:ind w:firstLine="200"/>
        <w:rPr>
          <w:rFonts w:ascii="宋体" w:hAnsi="宋体" w:eastAsia="宋体"/>
          <w:sz w:val="24"/>
        </w:rPr>
      </w:pPr>
    </w:p>
    <w:tbl>
      <w:tblPr>
        <w:tblStyle w:val="18"/>
        <w:tblW w:w="0" w:type="auto"/>
        <w:tblInd w:w="0" w:type="dxa"/>
        <w:tblLayout w:type="fixed"/>
        <w:tblCellMar>
          <w:top w:w="0" w:type="dxa"/>
          <w:left w:w="108" w:type="dxa"/>
          <w:bottom w:w="0" w:type="dxa"/>
          <w:right w:w="108" w:type="dxa"/>
        </w:tblCellMar>
      </w:tblPr>
      <w:tblGrid>
        <w:gridCol w:w="4643"/>
        <w:gridCol w:w="4642"/>
      </w:tblGrid>
      <w:tr>
        <w:tblPrEx>
          <w:tblCellMar>
            <w:top w:w="0" w:type="dxa"/>
            <w:left w:w="108" w:type="dxa"/>
            <w:bottom w:w="0" w:type="dxa"/>
            <w:right w:w="108" w:type="dxa"/>
          </w:tblCellMar>
        </w:tblPrEx>
        <w:trPr>
          <w:trHeight w:val="1002" w:hRule="atLeast"/>
        </w:trPr>
        <w:tc>
          <w:tcPr>
            <w:tcW w:w="4643" w:type="dxa"/>
          </w:tcPr>
          <w:p>
            <w:pPr>
              <w:pStyle w:val="28"/>
              <w:spacing w:line="440" w:lineRule="exact"/>
              <w:rPr>
                <w:rFonts w:ascii="宋体" w:hAnsi="宋体" w:eastAsia="宋体"/>
                <w:sz w:val="24"/>
              </w:rPr>
            </w:pPr>
            <w:r>
              <w:rPr>
                <w:rFonts w:hint="eastAsia" w:ascii="宋体" w:hAnsi="宋体" w:eastAsia="宋体"/>
                <w:sz w:val="24"/>
              </w:rPr>
              <w:t>发包人单位：</w:t>
            </w:r>
            <w:r>
              <w:rPr>
                <w:rFonts w:hint="eastAsia" w:ascii="宋体" w:hAnsi="宋体" w:eastAsia="宋体"/>
                <w:bCs/>
                <w:sz w:val="24"/>
                <w:u w:val="single"/>
              </w:rPr>
              <w:t>佛山市三水海江怡乐建设投资有限公司</w:t>
            </w:r>
            <w:r>
              <w:rPr>
                <w:rFonts w:ascii="宋体" w:hAnsi="宋体" w:eastAsia="宋体"/>
                <w:sz w:val="24"/>
                <w:u w:val="single"/>
              </w:rPr>
              <w:t>(盖章)</w:t>
            </w:r>
          </w:p>
        </w:tc>
        <w:tc>
          <w:tcPr>
            <w:tcW w:w="4642" w:type="dxa"/>
          </w:tcPr>
          <w:p>
            <w:pPr>
              <w:pStyle w:val="28"/>
              <w:spacing w:line="360" w:lineRule="auto"/>
              <w:rPr>
                <w:rFonts w:ascii="宋体" w:hAnsi="宋体" w:eastAsia="宋体"/>
                <w:sz w:val="24"/>
              </w:rPr>
            </w:pPr>
            <w:r>
              <w:rPr>
                <w:rFonts w:hint="eastAsia" w:ascii="宋体" w:hAnsi="宋体" w:eastAsia="宋体"/>
                <w:sz w:val="24"/>
              </w:rPr>
              <w:t>承包人单位：</w:t>
            </w:r>
            <w:r>
              <w:rPr>
                <w:rFonts w:ascii="宋体" w:hAnsi="宋体" w:eastAsia="宋体"/>
                <w:bCs/>
                <w:sz w:val="24"/>
                <w:u w:val="single"/>
              </w:rPr>
              <w:t xml:space="preserve">                   （</w:t>
            </w:r>
            <w:r>
              <w:rPr>
                <w:rFonts w:hint="eastAsia" w:ascii="宋体" w:hAnsi="宋体" w:eastAsia="宋体"/>
                <w:sz w:val="24"/>
                <w:u w:val="single"/>
              </w:rPr>
              <w:t>盖章</w:t>
            </w:r>
            <w:r>
              <w:rPr>
                <w:rFonts w:ascii="宋体" w:hAnsi="宋体" w:eastAsia="宋体"/>
                <w:sz w:val="24"/>
                <w:u w:val="single"/>
              </w:rPr>
              <w:t>)</w:t>
            </w:r>
          </w:p>
        </w:tc>
      </w:tr>
      <w:tr>
        <w:tblPrEx>
          <w:tblCellMar>
            <w:top w:w="0" w:type="dxa"/>
            <w:left w:w="108" w:type="dxa"/>
            <w:bottom w:w="0" w:type="dxa"/>
            <w:right w:w="108" w:type="dxa"/>
          </w:tblCellMar>
        </w:tblPrEx>
        <w:trPr>
          <w:trHeight w:val="846" w:hRule="atLeast"/>
        </w:trPr>
        <w:tc>
          <w:tcPr>
            <w:tcW w:w="4643" w:type="dxa"/>
          </w:tcPr>
          <w:p>
            <w:pPr>
              <w:pStyle w:val="28"/>
              <w:spacing w:line="440" w:lineRule="exact"/>
              <w:rPr>
                <w:rFonts w:ascii="宋体" w:hAnsi="宋体" w:eastAsia="宋体"/>
                <w:sz w:val="24"/>
                <w:u w:val="single"/>
              </w:rPr>
            </w:pPr>
            <w:r>
              <w:rPr>
                <w:rFonts w:hint="eastAsia" w:ascii="宋体" w:hAnsi="宋体" w:eastAsia="宋体"/>
                <w:sz w:val="24"/>
              </w:rPr>
              <w:t>法定代表人：</w:t>
            </w:r>
            <w:r>
              <w:rPr>
                <w:rFonts w:ascii="宋体" w:hAnsi="宋体" w:eastAsia="宋体"/>
                <w:sz w:val="24"/>
                <w:u w:val="single"/>
              </w:rPr>
              <w:t>(签名)</w:t>
            </w:r>
          </w:p>
          <w:p>
            <w:pPr>
              <w:pStyle w:val="28"/>
              <w:spacing w:line="440" w:lineRule="exact"/>
              <w:rPr>
                <w:rFonts w:ascii="宋体" w:hAnsi="宋体" w:eastAsia="宋体"/>
                <w:sz w:val="24"/>
                <w:u w:val="single"/>
              </w:rPr>
            </w:pPr>
          </w:p>
        </w:tc>
        <w:tc>
          <w:tcPr>
            <w:tcW w:w="4642" w:type="dxa"/>
          </w:tcPr>
          <w:p>
            <w:pPr>
              <w:pStyle w:val="28"/>
              <w:spacing w:line="440" w:lineRule="exact"/>
              <w:rPr>
                <w:rFonts w:ascii="宋体" w:hAnsi="宋体" w:eastAsia="宋体"/>
                <w:sz w:val="24"/>
              </w:rPr>
            </w:pPr>
            <w:r>
              <w:rPr>
                <w:rFonts w:hint="eastAsia" w:ascii="宋体" w:hAnsi="宋体" w:eastAsia="宋体"/>
                <w:sz w:val="24"/>
              </w:rPr>
              <w:t>法定代表人：</w:t>
            </w:r>
            <w:r>
              <w:rPr>
                <w:rFonts w:ascii="宋体" w:hAnsi="宋体" w:eastAsia="宋体"/>
                <w:sz w:val="24"/>
                <w:u w:val="single"/>
              </w:rPr>
              <w:t>(签名)</w:t>
            </w:r>
          </w:p>
        </w:tc>
      </w:tr>
      <w:tr>
        <w:tblPrEx>
          <w:tblCellMar>
            <w:top w:w="0" w:type="dxa"/>
            <w:left w:w="108" w:type="dxa"/>
            <w:bottom w:w="0" w:type="dxa"/>
            <w:right w:w="108" w:type="dxa"/>
          </w:tblCellMar>
        </w:tblPrEx>
        <w:trPr>
          <w:trHeight w:val="365" w:hRule="atLeast"/>
        </w:trPr>
        <w:tc>
          <w:tcPr>
            <w:tcW w:w="4643" w:type="dxa"/>
          </w:tcPr>
          <w:p>
            <w:pPr>
              <w:pStyle w:val="28"/>
              <w:spacing w:line="440" w:lineRule="exact"/>
              <w:rPr>
                <w:rFonts w:ascii="宋体" w:hAnsi="宋体" w:eastAsia="宋体"/>
                <w:sz w:val="24"/>
              </w:rPr>
            </w:pPr>
            <w:r>
              <w:rPr>
                <w:rFonts w:hint="eastAsia" w:ascii="宋体" w:hAnsi="宋体" w:eastAsia="宋体"/>
                <w:sz w:val="24"/>
              </w:rPr>
              <w:t>地址：</w:t>
            </w:r>
          </w:p>
        </w:tc>
        <w:tc>
          <w:tcPr>
            <w:tcW w:w="4642" w:type="dxa"/>
          </w:tcPr>
          <w:p>
            <w:pPr>
              <w:pStyle w:val="28"/>
              <w:spacing w:line="440" w:lineRule="exact"/>
              <w:rPr>
                <w:rFonts w:ascii="宋体" w:hAnsi="宋体" w:eastAsia="宋体"/>
                <w:sz w:val="24"/>
              </w:rPr>
            </w:pPr>
            <w:r>
              <w:rPr>
                <w:rFonts w:hint="eastAsia" w:ascii="宋体" w:hAnsi="宋体" w:eastAsia="宋体"/>
                <w:sz w:val="24"/>
              </w:rPr>
              <w:t>地址：</w:t>
            </w:r>
          </w:p>
        </w:tc>
      </w:tr>
      <w:tr>
        <w:tblPrEx>
          <w:tblCellMar>
            <w:top w:w="0" w:type="dxa"/>
            <w:left w:w="108" w:type="dxa"/>
            <w:bottom w:w="0" w:type="dxa"/>
            <w:right w:w="108" w:type="dxa"/>
          </w:tblCellMar>
        </w:tblPrEx>
        <w:tc>
          <w:tcPr>
            <w:tcW w:w="4643" w:type="dxa"/>
          </w:tcPr>
          <w:p>
            <w:pPr>
              <w:pStyle w:val="28"/>
              <w:spacing w:line="440" w:lineRule="exact"/>
              <w:rPr>
                <w:rFonts w:ascii="宋体" w:hAnsi="宋体" w:eastAsia="宋体"/>
                <w:sz w:val="24"/>
              </w:rPr>
            </w:pPr>
            <w:r>
              <w:rPr>
                <w:rFonts w:hint="eastAsia" w:ascii="宋体" w:hAnsi="宋体" w:eastAsia="宋体"/>
                <w:sz w:val="24"/>
              </w:rPr>
              <w:t>电话：</w:t>
            </w:r>
          </w:p>
        </w:tc>
        <w:tc>
          <w:tcPr>
            <w:tcW w:w="4642" w:type="dxa"/>
          </w:tcPr>
          <w:p>
            <w:pPr>
              <w:pStyle w:val="28"/>
              <w:spacing w:line="440" w:lineRule="exact"/>
              <w:rPr>
                <w:rFonts w:ascii="宋体" w:hAnsi="宋体" w:eastAsia="宋体"/>
                <w:sz w:val="24"/>
              </w:rPr>
            </w:pPr>
            <w:r>
              <w:rPr>
                <w:rFonts w:hint="eastAsia" w:ascii="宋体" w:hAnsi="宋体" w:eastAsia="宋体"/>
                <w:sz w:val="24"/>
              </w:rPr>
              <w:t>电话：</w:t>
            </w:r>
          </w:p>
        </w:tc>
      </w:tr>
      <w:tr>
        <w:tblPrEx>
          <w:tblCellMar>
            <w:top w:w="0" w:type="dxa"/>
            <w:left w:w="108" w:type="dxa"/>
            <w:bottom w:w="0" w:type="dxa"/>
            <w:right w:w="108" w:type="dxa"/>
          </w:tblCellMar>
        </w:tblPrEx>
        <w:tc>
          <w:tcPr>
            <w:tcW w:w="4643" w:type="dxa"/>
          </w:tcPr>
          <w:p>
            <w:pPr>
              <w:pStyle w:val="28"/>
              <w:spacing w:line="440" w:lineRule="exact"/>
              <w:rPr>
                <w:rFonts w:ascii="宋体" w:hAnsi="宋体" w:eastAsia="宋体"/>
                <w:sz w:val="24"/>
              </w:rPr>
            </w:pPr>
            <w:r>
              <w:rPr>
                <w:rFonts w:hint="eastAsia" w:ascii="宋体" w:hAnsi="宋体" w:eastAsia="宋体"/>
                <w:sz w:val="24"/>
              </w:rPr>
              <w:t>日期：</w:t>
            </w:r>
            <w:r>
              <w:rPr>
                <w:rFonts w:ascii="宋体" w:hAnsi="宋体" w:eastAsia="宋体"/>
                <w:sz w:val="24"/>
              </w:rPr>
              <w:t xml:space="preserve">   </w:t>
            </w:r>
            <w:r>
              <w:rPr>
                <w:rFonts w:hint="eastAsia" w:ascii="宋体" w:hAnsi="宋体" w:eastAsia="宋体"/>
                <w:sz w:val="24"/>
              </w:rPr>
              <w:t>年</w:t>
            </w:r>
            <w:r>
              <w:rPr>
                <w:rFonts w:ascii="宋体" w:hAnsi="宋体" w:eastAsia="宋体"/>
                <w:sz w:val="24"/>
              </w:rPr>
              <w:t xml:space="preserve">   </w:t>
            </w:r>
            <w:r>
              <w:rPr>
                <w:rFonts w:hint="eastAsia" w:ascii="宋体" w:hAnsi="宋体" w:eastAsia="宋体"/>
                <w:sz w:val="24"/>
              </w:rPr>
              <w:t>月</w:t>
            </w:r>
            <w:r>
              <w:rPr>
                <w:rFonts w:ascii="宋体" w:hAnsi="宋体" w:eastAsia="宋体"/>
                <w:sz w:val="24"/>
              </w:rPr>
              <w:t xml:space="preserve">    </w:t>
            </w:r>
            <w:r>
              <w:rPr>
                <w:rFonts w:hint="eastAsia" w:ascii="宋体" w:hAnsi="宋体" w:eastAsia="宋体"/>
                <w:sz w:val="24"/>
              </w:rPr>
              <w:t>日</w:t>
            </w:r>
          </w:p>
        </w:tc>
        <w:tc>
          <w:tcPr>
            <w:tcW w:w="4642" w:type="dxa"/>
          </w:tcPr>
          <w:p>
            <w:pPr>
              <w:pStyle w:val="28"/>
              <w:spacing w:line="440" w:lineRule="exact"/>
              <w:rPr>
                <w:rFonts w:ascii="宋体" w:hAnsi="宋体" w:eastAsia="宋体"/>
                <w:sz w:val="24"/>
              </w:rPr>
            </w:pPr>
            <w:r>
              <w:rPr>
                <w:rFonts w:hint="eastAsia" w:ascii="宋体" w:hAnsi="宋体" w:eastAsia="宋体"/>
                <w:sz w:val="24"/>
              </w:rPr>
              <w:t>日期：</w:t>
            </w:r>
            <w:r>
              <w:rPr>
                <w:rFonts w:ascii="宋体" w:hAnsi="宋体" w:eastAsia="宋体"/>
                <w:sz w:val="24"/>
              </w:rPr>
              <w:t xml:space="preserve">     </w:t>
            </w:r>
            <w:r>
              <w:rPr>
                <w:rFonts w:hint="eastAsia" w:ascii="宋体" w:hAnsi="宋体" w:eastAsia="宋体"/>
                <w:sz w:val="24"/>
              </w:rPr>
              <w:t>年</w:t>
            </w:r>
            <w:r>
              <w:rPr>
                <w:rFonts w:ascii="宋体" w:hAnsi="宋体" w:eastAsia="宋体"/>
                <w:sz w:val="24"/>
              </w:rPr>
              <w:t xml:space="preserve">     </w:t>
            </w:r>
            <w:r>
              <w:rPr>
                <w:rFonts w:hint="eastAsia" w:ascii="宋体" w:hAnsi="宋体" w:eastAsia="宋体"/>
                <w:sz w:val="24"/>
              </w:rPr>
              <w:t>月</w:t>
            </w:r>
            <w:r>
              <w:rPr>
                <w:rFonts w:ascii="宋体" w:hAnsi="宋体" w:eastAsia="宋体"/>
                <w:sz w:val="24"/>
              </w:rPr>
              <w:t xml:space="preserve">     </w:t>
            </w:r>
            <w:r>
              <w:rPr>
                <w:rFonts w:hint="eastAsia" w:ascii="宋体" w:hAnsi="宋体" w:eastAsia="宋体"/>
                <w:sz w:val="24"/>
              </w:rPr>
              <w:t>日</w:t>
            </w:r>
          </w:p>
        </w:tc>
      </w:tr>
    </w:tbl>
    <w:p>
      <w:pPr>
        <w:pStyle w:val="28"/>
        <w:spacing w:line="360" w:lineRule="auto"/>
        <w:ind w:firstLine="200"/>
        <w:rPr>
          <w:rFonts w:ascii="宋体" w:hAnsi="宋体" w:eastAsia="宋体"/>
          <w:sz w:val="24"/>
        </w:rPr>
      </w:pPr>
    </w:p>
    <w:p>
      <w:pPr>
        <w:widowControl/>
        <w:autoSpaceDE/>
        <w:autoSpaceDN/>
        <w:rPr>
          <w:b/>
          <w:bCs/>
          <w:kern w:val="2"/>
          <w:sz w:val="24"/>
          <w:szCs w:val="21"/>
          <w:lang w:val="en-US" w:bidi="ar-SA"/>
        </w:rPr>
      </w:pPr>
      <w:r>
        <w:rPr>
          <w:b/>
          <w:bCs/>
          <w:sz w:val="24"/>
        </w:rPr>
        <w:br w:type="page"/>
      </w:r>
    </w:p>
    <w:p>
      <w:pPr>
        <w:pStyle w:val="28"/>
        <w:spacing w:line="440" w:lineRule="exact"/>
        <w:rPr>
          <w:rFonts w:ascii="宋体" w:hAnsi="宋体" w:eastAsia="宋体"/>
          <w:b/>
          <w:bCs/>
          <w:sz w:val="24"/>
        </w:rPr>
      </w:pPr>
      <w:r>
        <w:rPr>
          <w:rFonts w:hint="eastAsia" w:ascii="宋体" w:hAnsi="宋体" w:eastAsia="宋体"/>
          <w:b/>
          <w:bCs/>
          <w:sz w:val="24"/>
        </w:rPr>
        <w:t>附件</w:t>
      </w:r>
      <w:r>
        <w:rPr>
          <w:rFonts w:ascii="宋体" w:hAnsi="宋体" w:eastAsia="宋体"/>
          <w:b/>
          <w:bCs/>
          <w:sz w:val="24"/>
        </w:rPr>
        <w:t xml:space="preserve">2：    </w:t>
      </w:r>
    </w:p>
    <w:p>
      <w:pPr>
        <w:pStyle w:val="28"/>
        <w:spacing w:before="120" w:beforeLines="50" w:after="120" w:afterLines="50" w:line="440" w:lineRule="exact"/>
        <w:jc w:val="center"/>
        <w:rPr>
          <w:rFonts w:ascii="宋体" w:hAnsi="宋体" w:eastAsia="宋体"/>
          <w:sz w:val="24"/>
        </w:rPr>
      </w:pPr>
      <w:r>
        <w:rPr>
          <w:rFonts w:hint="eastAsia" w:ascii="宋体" w:hAnsi="宋体" w:eastAsia="宋体"/>
          <w:sz w:val="24"/>
        </w:rPr>
        <w:t>工程质量保修书</w:t>
      </w:r>
    </w:p>
    <w:p>
      <w:pPr>
        <w:pStyle w:val="28"/>
        <w:spacing w:line="440" w:lineRule="exact"/>
        <w:ind w:firstLine="480" w:firstLineChars="200"/>
        <w:rPr>
          <w:rFonts w:ascii="宋体" w:hAnsi="宋体" w:eastAsia="宋体"/>
          <w:sz w:val="24"/>
        </w:rPr>
      </w:pPr>
      <w:r>
        <w:rPr>
          <w:rFonts w:hint="eastAsia" w:ascii="宋体" w:hAnsi="宋体" w:eastAsia="宋体"/>
          <w:sz w:val="24"/>
        </w:rPr>
        <w:t>发包人（全称）：</w:t>
      </w:r>
      <w:r>
        <w:rPr>
          <w:rFonts w:hint="eastAsia" w:ascii="宋体" w:hAnsi="宋体" w:eastAsia="宋体"/>
          <w:sz w:val="24"/>
          <w:u w:val="single"/>
        </w:rPr>
        <w:t>佛山市三水海江怡乐建设投资有限公司</w:t>
      </w:r>
    </w:p>
    <w:p>
      <w:pPr>
        <w:pStyle w:val="28"/>
        <w:spacing w:line="440" w:lineRule="exact"/>
        <w:rPr>
          <w:rFonts w:ascii="宋体" w:hAnsi="宋体" w:eastAsia="宋体"/>
          <w:sz w:val="24"/>
        </w:rPr>
      </w:pPr>
      <w:r>
        <w:rPr>
          <w:rFonts w:hint="eastAsia" w:ascii="宋体" w:hAnsi="宋体" w:eastAsia="宋体"/>
          <w:sz w:val="24"/>
        </w:rPr>
        <w:t>　　承包人（全称）：</w:t>
      </w:r>
    </w:p>
    <w:p>
      <w:pPr>
        <w:pStyle w:val="28"/>
        <w:spacing w:line="440" w:lineRule="exact"/>
        <w:rPr>
          <w:rFonts w:ascii="宋体" w:hAnsi="宋体" w:eastAsia="宋体"/>
          <w:sz w:val="24"/>
        </w:rPr>
      </w:pPr>
    </w:p>
    <w:p>
      <w:pPr>
        <w:pStyle w:val="28"/>
        <w:spacing w:line="360" w:lineRule="auto"/>
        <w:rPr>
          <w:rFonts w:ascii="宋体" w:hAnsi="宋体" w:eastAsia="宋体"/>
          <w:sz w:val="24"/>
        </w:rPr>
      </w:pPr>
      <w:r>
        <w:rPr>
          <w:rFonts w:hint="eastAsia" w:ascii="宋体" w:hAnsi="宋体" w:eastAsia="宋体"/>
          <w:sz w:val="24"/>
        </w:rPr>
        <w:t>　　发包人和承包人根据《中华人民共和国建筑法》和《建设工程质量管理条例》，经协商一致就</w:t>
      </w:r>
      <w:r>
        <w:rPr>
          <w:rFonts w:hint="eastAsia" w:ascii="宋体" w:hAnsi="宋体" w:eastAsia="宋体"/>
          <w:kern w:val="0"/>
          <w:sz w:val="24"/>
          <w:u w:val="single"/>
        </w:rPr>
        <w:t>乐平镇工业园区三丫涌桥工程</w:t>
      </w:r>
      <w:r>
        <w:rPr>
          <w:rFonts w:hint="eastAsia" w:ascii="宋体" w:hAnsi="宋体" w:eastAsia="宋体"/>
          <w:sz w:val="24"/>
        </w:rPr>
        <w:t>签订工程质量保修书。</w:t>
      </w:r>
    </w:p>
    <w:p>
      <w:pPr>
        <w:pStyle w:val="28"/>
        <w:rPr>
          <w:rFonts w:ascii="宋体" w:hAnsi="宋体" w:eastAsia="宋体"/>
          <w:sz w:val="24"/>
          <w:szCs w:val="32"/>
        </w:rPr>
      </w:pPr>
      <w:r>
        <w:rPr>
          <w:rFonts w:hint="eastAsia" w:ascii="宋体" w:hAnsi="宋体" w:eastAsia="宋体"/>
          <w:sz w:val="24"/>
          <w:szCs w:val="32"/>
        </w:rPr>
        <w:t>　　一、工程质量保修范围和内容</w:t>
      </w:r>
    </w:p>
    <w:p>
      <w:pPr>
        <w:pStyle w:val="28"/>
        <w:spacing w:line="360" w:lineRule="auto"/>
        <w:rPr>
          <w:rFonts w:ascii="宋体" w:hAnsi="宋体" w:eastAsia="宋体"/>
          <w:sz w:val="24"/>
        </w:rPr>
      </w:pPr>
      <w:r>
        <w:rPr>
          <w:rFonts w:hint="eastAsia" w:ascii="宋体" w:hAnsi="宋体" w:eastAsia="宋体"/>
          <w:sz w:val="24"/>
        </w:rPr>
        <w:t>　　承包人在质量保修期内，按照有关法律规定和合同约定，承担工程质量保修责任。</w:t>
      </w:r>
    </w:p>
    <w:p>
      <w:pPr>
        <w:pStyle w:val="28"/>
        <w:spacing w:line="360" w:lineRule="auto"/>
        <w:rPr>
          <w:rFonts w:ascii="宋体" w:hAnsi="宋体" w:eastAsia="宋体"/>
          <w:sz w:val="24"/>
        </w:rPr>
      </w:pPr>
      <w:r>
        <w:rPr>
          <w:rFonts w:hint="eastAsia" w:ascii="宋体" w:hAnsi="宋体" w:eastAsia="宋体"/>
          <w:sz w:val="24"/>
        </w:rPr>
        <w:t>　　质量保修范围包括地基基础工程、主体结构工程，屋面防水工程、有防水要求的卫生间、房间和外墙面的防渗漏，供热与供冷系统，电气管线、市政工程管道、设备安装和装修工程，以及双方约定的其他项目。具体保修的内容，双方约定如下：</w:t>
      </w:r>
    </w:p>
    <w:p>
      <w:pPr>
        <w:pStyle w:val="28"/>
        <w:spacing w:line="360" w:lineRule="auto"/>
        <w:rPr>
          <w:rFonts w:ascii="宋体" w:hAnsi="宋体" w:eastAsia="宋体"/>
          <w:sz w:val="24"/>
        </w:rPr>
      </w:pPr>
      <w:r>
        <w:rPr>
          <w:rFonts w:hint="eastAsia" w:ascii="宋体" w:hAnsi="宋体" w:eastAsia="宋体"/>
          <w:sz w:val="24"/>
        </w:rPr>
        <w:t>　　</w:t>
      </w:r>
      <w:r>
        <w:rPr>
          <w:rFonts w:hint="eastAsia" w:ascii="宋体" w:hAnsi="宋体" w:eastAsia="宋体"/>
          <w:sz w:val="24"/>
          <w:u w:val="single"/>
        </w:rPr>
        <w:t>承包人承担的质量保修范围为承包人负责施工的部位，包括承包人承包范围内的全部工程内容，以及工程范围内由承包人提供的设备、材料</w:t>
      </w:r>
      <w:r>
        <w:rPr>
          <w:rFonts w:ascii="宋体" w:hAnsi="宋体" w:eastAsia="宋体"/>
          <w:sz w:val="24"/>
          <w:u w:val="single"/>
        </w:rPr>
        <w:t xml:space="preserve"> </w:t>
      </w:r>
      <w:r>
        <w:rPr>
          <w:rFonts w:hint="eastAsia" w:ascii="宋体" w:hAnsi="宋体" w:eastAsia="宋体"/>
          <w:sz w:val="24"/>
        </w:rPr>
        <w:t>。</w:t>
      </w:r>
    </w:p>
    <w:p>
      <w:pPr>
        <w:pStyle w:val="28"/>
        <w:rPr>
          <w:rFonts w:ascii="宋体" w:hAnsi="宋体" w:eastAsia="宋体"/>
          <w:sz w:val="24"/>
          <w:szCs w:val="32"/>
        </w:rPr>
      </w:pPr>
      <w:r>
        <w:rPr>
          <w:rFonts w:hint="eastAsia" w:ascii="宋体" w:hAnsi="宋体" w:eastAsia="宋体"/>
          <w:sz w:val="24"/>
          <w:szCs w:val="32"/>
        </w:rPr>
        <w:t>　　二、质量保修期</w:t>
      </w:r>
    </w:p>
    <w:p>
      <w:pPr>
        <w:pStyle w:val="28"/>
        <w:spacing w:line="360" w:lineRule="auto"/>
        <w:ind w:firstLine="480" w:firstLineChars="200"/>
        <w:rPr>
          <w:rFonts w:ascii="宋体" w:hAnsi="宋体" w:eastAsia="宋体"/>
          <w:sz w:val="24"/>
        </w:rPr>
      </w:pPr>
      <w:r>
        <w:rPr>
          <w:rFonts w:hint="eastAsia" w:ascii="宋体" w:hAnsi="宋体" w:eastAsia="宋体"/>
          <w:sz w:val="24"/>
        </w:rPr>
        <w:t>根据《建设工程质量管理条例》及有关规定，工程的质量保修期如下：</w:t>
      </w:r>
    </w:p>
    <w:p>
      <w:pPr>
        <w:pStyle w:val="28"/>
        <w:spacing w:line="360" w:lineRule="auto"/>
        <w:ind w:left="440" w:leftChars="200" w:firstLine="120" w:firstLineChars="50"/>
        <w:rPr>
          <w:rFonts w:ascii="宋体" w:hAnsi="宋体" w:eastAsia="宋体"/>
          <w:sz w:val="24"/>
        </w:rPr>
      </w:pPr>
      <w:r>
        <w:rPr>
          <w:rFonts w:ascii="宋体" w:hAnsi="宋体" w:eastAsia="宋体"/>
          <w:sz w:val="24"/>
        </w:rPr>
        <w:t>1．地基基础工程和主体结构工程为设计文件规定的工程合理使用年限；</w:t>
      </w:r>
    </w:p>
    <w:p>
      <w:pPr>
        <w:pStyle w:val="28"/>
        <w:spacing w:line="360" w:lineRule="auto"/>
        <w:ind w:left="440" w:leftChars="200" w:firstLine="120" w:firstLineChars="50"/>
        <w:rPr>
          <w:rFonts w:ascii="宋体" w:hAnsi="宋体" w:eastAsia="宋体"/>
          <w:sz w:val="24"/>
        </w:rPr>
      </w:pPr>
      <w:r>
        <w:rPr>
          <w:rFonts w:ascii="宋体" w:hAnsi="宋体" w:eastAsia="宋体"/>
          <w:sz w:val="24"/>
        </w:rPr>
        <w:t>2．屋面防水工程、有防水要求的卫生间、房间和外墙面的防渗为5</w:t>
      </w:r>
      <w:r>
        <w:rPr>
          <w:rFonts w:hint="eastAsia" w:ascii="宋体" w:hAnsi="宋体" w:eastAsia="宋体"/>
          <w:sz w:val="24"/>
        </w:rPr>
        <w:t>年；</w:t>
      </w:r>
    </w:p>
    <w:p>
      <w:pPr>
        <w:pStyle w:val="28"/>
        <w:spacing w:line="360" w:lineRule="auto"/>
        <w:ind w:left="440" w:leftChars="200" w:firstLine="120" w:firstLineChars="50"/>
        <w:rPr>
          <w:rFonts w:ascii="宋体" w:hAnsi="宋体" w:eastAsia="宋体"/>
          <w:sz w:val="24"/>
        </w:rPr>
      </w:pPr>
      <w:r>
        <w:rPr>
          <w:rFonts w:ascii="宋体" w:hAnsi="宋体" w:eastAsia="宋体"/>
          <w:sz w:val="24"/>
        </w:rPr>
        <w:t xml:space="preserve">3．装修工程为 2 </w:t>
      </w:r>
      <w:r>
        <w:rPr>
          <w:rFonts w:hint="eastAsia" w:ascii="宋体" w:hAnsi="宋体" w:eastAsia="宋体"/>
          <w:sz w:val="24"/>
        </w:rPr>
        <w:t>年；</w:t>
      </w:r>
    </w:p>
    <w:p>
      <w:pPr>
        <w:pStyle w:val="28"/>
        <w:spacing w:line="360" w:lineRule="auto"/>
        <w:ind w:left="440" w:leftChars="200" w:firstLine="120" w:firstLineChars="50"/>
        <w:rPr>
          <w:rFonts w:ascii="宋体" w:hAnsi="宋体" w:eastAsia="宋体"/>
          <w:sz w:val="24"/>
        </w:rPr>
      </w:pPr>
      <w:r>
        <w:rPr>
          <w:rFonts w:ascii="宋体" w:hAnsi="宋体" w:eastAsia="宋体"/>
          <w:sz w:val="24"/>
        </w:rPr>
        <w:t xml:space="preserve">4．电气管线、市政工程管道、设备安装工程为 2 </w:t>
      </w:r>
      <w:r>
        <w:rPr>
          <w:rFonts w:hint="eastAsia" w:ascii="宋体" w:hAnsi="宋体" w:eastAsia="宋体"/>
          <w:sz w:val="24"/>
        </w:rPr>
        <w:t>年；</w:t>
      </w:r>
    </w:p>
    <w:p>
      <w:pPr>
        <w:pStyle w:val="28"/>
        <w:spacing w:line="360" w:lineRule="auto"/>
        <w:ind w:left="440" w:leftChars="200" w:firstLine="120" w:firstLineChars="50"/>
        <w:rPr>
          <w:rFonts w:ascii="宋体" w:hAnsi="宋体" w:eastAsia="宋体"/>
          <w:sz w:val="24"/>
        </w:rPr>
      </w:pPr>
      <w:r>
        <w:rPr>
          <w:rFonts w:ascii="宋体" w:hAnsi="宋体" w:eastAsia="宋体"/>
          <w:sz w:val="24"/>
        </w:rPr>
        <w:t>5．供热与供冷系统为 2</w:t>
      </w:r>
      <w:r>
        <w:rPr>
          <w:rFonts w:hint="eastAsia" w:ascii="宋体" w:hAnsi="宋体" w:eastAsia="宋体"/>
          <w:sz w:val="24"/>
        </w:rPr>
        <w:t>个采暖期、供冷期；</w:t>
      </w:r>
    </w:p>
    <w:p>
      <w:pPr>
        <w:pStyle w:val="28"/>
        <w:spacing w:line="360" w:lineRule="auto"/>
        <w:ind w:left="440" w:leftChars="200" w:firstLine="120" w:firstLineChars="50"/>
        <w:rPr>
          <w:rFonts w:ascii="宋体" w:hAnsi="宋体" w:eastAsia="宋体"/>
          <w:sz w:val="24"/>
        </w:rPr>
      </w:pPr>
      <w:r>
        <w:rPr>
          <w:rFonts w:ascii="宋体" w:hAnsi="宋体" w:eastAsia="宋体"/>
          <w:sz w:val="24"/>
        </w:rPr>
        <w:t xml:space="preserve">6．住宅小区内的市政工程设施、道路等配套工程为 1 </w:t>
      </w:r>
      <w:r>
        <w:rPr>
          <w:rFonts w:hint="eastAsia" w:ascii="宋体" w:hAnsi="宋体" w:eastAsia="宋体"/>
          <w:sz w:val="24"/>
        </w:rPr>
        <w:t>年；</w:t>
      </w:r>
    </w:p>
    <w:p>
      <w:pPr>
        <w:pStyle w:val="28"/>
        <w:spacing w:line="360" w:lineRule="auto"/>
        <w:ind w:firstLine="480" w:firstLineChars="200"/>
        <w:rPr>
          <w:rFonts w:ascii="宋体" w:hAnsi="宋体" w:eastAsia="宋体"/>
          <w:sz w:val="24"/>
        </w:rPr>
      </w:pPr>
      <w:r>
        <w:rPr>
          <w:rFonts w:ascii="宋体" w:hAnsi="宋体" w:eastAsia="宋体"/>
          <w:sz w:val="24"/>
        </w:rPr>
        <w:t>7</w:t>
      </w:r>
      <w:r>
        <w:rPr>
          <w:rFonts w:hint="eastAsia" w:ascii="宋体" w:hAnsi="宋体" w:eastAsia="宋体"/>
          <w:sz w:val="24"/>
        </w:rPr>
        <w:t>．其他项目保修期限约定如下：</w:t>
      </w:r>
      <w:r>
        <w:rPr>
          <w:rFonts w:hint="eastAsia" w:ascii="宋体" w:hAnsi="宋体" w:eastAsia="宋体"/>
          <w:sz w:val="24"/>
          <w:u w:val="single"/>
        </w:rPr>
        <w:t>其他项目保修期为</w:t>
      </w:r>
      <w:r>
        <w:rPr>
          <w:rFonts w:ascii="宋体" w:hAnsi="宋体" w:eastAsia="宋体"/>
          <w:sz w:val="24"/>
          <w:u w:val="single"/>
        </w:rPr>
        <w:t>1</w:t>
      </w:r>
      <w:r>
        <w:rPr>
          <w:rFonts w:hint="eastAsia" w:ascii="宋体" w:hAnsi="宋体" w:eastAsia="宋体"/>
          <w:sz w:val="24"/>
          <w:u w:val="single"/>
        </w:rPr>
        <w:t>年。</w:t>
      </w:r>
      <w:r>
        <w:rPr>
          <w:rFonts w:hint="eastAsia" w:ascii="宋体" w:hAnsi="宋体" w:eastAsia="宋体"/>
          <w:kern w:val="0"/>
          <w:sz w:val="24"/>
          <w:u w:val="single"/>
        </w:rPr>
        <w:t>绿化养护期</w:t>
      </w:r>
      <w:r>
        <w:rPr>
          <w:rFonts w:ascii="宋体" w:hAnsi="宋体" w:eastAsia="宋体"/>
          <w:kern w:val="0"/>
          <w:sz w:val="24"/>
          <w:u w:val="single"/>
        </w:rPr>
        <w:t>6个月</w:t>
      </w:r>
      <w:r>
        <w:rPr>
          <w:rFonts w:hint="eastAsia" w:ascii="宋体" w:hAnsi="宋体" w:eastAsia="宋体"/>
          <w:sz w:val="24"/>
        </w:rPr>
        <w:t>。</w:t>
      </w:r>
    </w:p>
    <w:p>
      <w:pPr>
        <w:pStyle w:val="28"/>
        <w:spacing w:line="360" w:lineRule="auto"/>
        <w:rPr>
          <w:rFonts w:ascii="宋体" w:hAnsi="宋体" w:eastAsia="宋体"/>
          <w:sz w:val="24"/>
        </w:rPr>
      </w:pPr>
      <w:r>
        <w:rPr>
          <w:rFonts w:hint="eastAsia" w:ascii="宋体" w:hAnsi="宋体" w:eastAsia="宋体"/>
          <w:sz w:val="24"/>
        </w:rPr>
        <w:t>　　质量保修期自工程竣工验收合格之日起计算。</w:t>
      </w:r>
    </w:p>
    <w:p>
      <w:pPr>
        <w:pStyle w:val="28"/>
        <w:rPr>
          <w:rFonts w:ascii="宋体" w:hAnsi="宋体" w:eastAsia="宋体"/>
          <w:sz w:val="24"/>
          <w:szCs w:val="32"/>
        </w:rPr>
      </w:pPr>
      <w:r>
        <w:rPr>
          <w:rFonts w:hint="eastAsia" w:ascii="宋体" w:hAnsi="宋体" w:eastAsia="宋体"/>
          <w:sz w:val="24"/>
          <w:szCs w:val="32"/>
        </w:rPr>
        <w:t>三、缺陷责任期</w:t>
      </w:r>
    </w:p>
    <w:p>
      <w:pPr>
        <w:pStyle w:val="28"/>
        <w:spacing w:line="360" w:lineRule="auto"/>
        <w:ind w:firstLine="480" w:firstLineChars="200"/>
        <w:rPr>
          <w:rFonts w:ascii="宋体" w:hAnsi="宋体" w:eastAsia="宋体"/>
          <w:sz w:val="24"/>
        </w:rPr>
      </w:pPr>
      <w:r>
        <w:rPr>
          <w:rFonts w:hint="eastAsia" w:ascii="宋体" w:hAnsi="宋体" w:eastAsia="宋体"/>
          <w:sz w:val="24"/>
        </w:rPr>
        <w:t>工程缺陷责任期为</w:t>
      </w:r>
      <w:r>
        <w:rPr>
          <w:rFonts w:ascii="宋体" w:hAnsi="宋体" w:eastAsia="宋体"/>
          <w:sz w:val="24"/>
          <w:u w:val="single"/>
        </w:rPr>
        <w:t xml:space="preserve"> 12 </w:t>
      </w:r>
      <w:r>
        <w:rPr>
          <w:rFonts w:hint="eastAsia" w:ascii="宋体" w:hAnsi="宋体" w:eastAsia="宋体"/>
          <w:sz w:val="24"/>
        </w:rPr>
        <w:t>个月，缺陷责任期自工程通过竣工验收之日起计算。单位工程先于全部工程进行验收，单位工程缺陷责任期自单位工程验收合格之日起算。</w:t>
      </w:r>
    </w:p>
    <w:p>
      <w:pPr>
        <w:pStyle w:val="28"/>
        <w:spacing w:line="360" w:lineRule="auto"/>
        <w:ind w:firstLine="480" w:firstLineChars="200"/>
        <w:rPr>
          <w:rFonts w:ascii="宋体" w:hAnsi="宋体" w:eastAsia="宋体"/>
          <w:sz w:val="24"/>
        </w:rPr>
      </w:pPr>
      <w:r>
        <w:rPr>
          <w:rFonts w:hint="eastAsia" w:ascii="宋体" w:hAnsi="宋体" w:eastAsia="宋体"/>
          <w:sz w:val="24"/>
        </w:rPr>
        <w:t>缺陷责任期终止后，发包人应退还剩余的质量保证金。</w:t>
      </w:r>
    </w:p>
    <w:p>
      <w:pPr>
        <w:pStyle w:val="28"/>
        <w:rPr>
          <w:rFonts w:ascii="宋体" w:hAnsi="宋体" w:eastAsia="宋体"/>
          <w:sz w:val="24"/>
          <w:szCs w:val="32"/>
        </w:rPr>
      </w:pPr>
      <w:r>
        <w:rPr>
          <w:rFonts w:hint="eastAsia" w:ascii="宋体" w:hAnsi="宋体" w:eastAsia="宋体"/>
          <w:sz w:val="24"/>
          <w:szCs w:val="32"/>
        </w:rPr>
        <w:t>四、质量保修责任</w:t>
      </w:r>
    </w:p>
    <w:p>
      <w:pPr>
        <w:pStyle w:val="28"/>
        <w:spacing w:line="360" w:lineRule="auto"/>
        <w:ind w:left="110" w:leftChars="50" w:firstLine="491" w:firstLineChars="205"/>
        <w:rPr>
          <w:rFonts w:ascii="宋体" w:hAnsi="宋体" w:eastAsia="宋体"/>
          <w:sz w:val="24"/>
        </w:rPr>
      </w:pPr>
      <w:r>
        <w:rPr>
          <w:rFonts w:ascii="宋体" w:hAnsi="宋体" w:eastAsia="宋体"/>
          <w:sz w:val="24"/>
        </w:rPr>
        <w:t>1．属于保修范围、内容的项目，承包人应当在接到保修通知之日起7天内派人保修。承包人不在约定期限内派人保修的，发包人可以委托他人修理。</w:t>
      </w:r>
    </w:p>
    <w:p>
      <w:pPr>
        <w:pStyle w:val="28"/>
        <w:spacing w:line="360" w:lineRule="auto"/>
        <w:ind w:left="110" w:leftChars="50" w:firstLine="491" w:firstLineChars="205"/>
        <w:rPr>
          <w:rFonts w:ascii="宋体" w:hAnsi="宋体" w:eastAsia="宋体"/>
          <w:sz w:val="24"/>
        </w:rPr>
      </w:pPr>
      <w:r>
        <w:rPr>
          <w:rFonts w:ascii="宋体" w:hAnsi="宋体" w:eastAsia="宋体"/>
          <w:sz w:val="24"/>
        </w:rPr>
        <w:t>2．发生紧急事故需抢修的，承包人在接到事故通知后，应当立即到达事故现场抢修。</w:t>
      </w:r>
    </w:p>
    <w:p>
      <w:pPr>
        <w:pStyle w:val="28"/>
        <w:spacing w:line="360" w:lineRule="auto"/>
        <w:ind w:left="110" w:leftChars="50" w:firstLine="491" w:firstLineChars="205"/>
        <w:rPr>
          <w:rFonts w:ascii="宋体" w:hAnsi="宋体" w:eastAsia="宋体"/>
          <w:sz w:val="24"/>
        </w:rPr>
      </w:pPr>
      <w:r>
        <w:rPr>
          <w:rFonts w:ascii="宋体" w:hAnsi="宋体" w:eastAsia="宋体"/>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28"/>
        <w:spacing w:line="360" w:lineRule="auto"/>
        <w:ind w:left="440" w:leftChars="200" w:firstLine="120" w:firstLineChars="50"/>
        <w:outlineLvl w:val="1"/>
        <w:rPr>
          <w:rFonts w:ascii="宋体" w:hAnsi="宋体" w:eastAsia="宋体"/>
          <w:sz w:val="24"/>
        </w:rPr>
      </w:pPr>
      <w:bookmarkStart w:id="266" w:name="_Toc13685"/>
      <w:r>
        <w:rPr>
          <w:rFonts w:ascii="宋体" w:hAnsi="宋体" w:eastAsia="宋体"/>
          <w:sz w:val="24"/>
        </w:rPr>
        <w:t>4．质量保修完成后，由发包人组织验收。</w:t>
      </w:r>
      <w:bookmarkEnd w:id="266"/>
    </w:p>
    <w:p>
      <w:pPr>
        <w:pStyle w:val="28"/>
        <w:rPr>
          <w:rFonts w:ascii="宋体" w:hAnsi="宋体" w:eastAsia="宋体"/>
          <w:sz w:val="24"/>
          <w:szCs w:val="32"/>
        </w:rPr>
      </w:pPr>
      <w:r>
        <w:rPr>
          <w:rFonts w:hint="eastAsia" w:ascii="宋体" w:hAnsi="宋体" w:eastAsia="宋体"/>
          <w:sz w:val="24"/>
          <w:szCs w:val="32"/>
        </w:rPr>
        <w:t>五、保修费用</w:t>
      </w:r>
    </w:p>
    <w:p>
      <w:pPr>
        <w:pStyle w:val="28"/>
        <w:spacing w:line="360" w:lineRule="auto"/>
        <w:rPr>
          <w:rFonts w:ascii="宋体" w:hAnsi="宋体" w:eastAsia="宋体"/>
          <w:sz w:val="24"/>
        </w:rPr>
      </w:pPr>
      <w:r>
        <w:rPr>
          <w:rFonts w:hint="eastAsia" w:ascii="宋体" w:hAnsi="宋体" w:eastAsia="宋体"/>
          <w:sz w:val="24"/>
        </w:rPr>
        <w:t>　　保修费用由造成质量缺陷的责任方承担。</w:t>
      </w:r>
    </w:p>
    <w:p>
      <w:pPr>
        <w:pStyle w:val="28"/>
        <w:spacing w:line="360" w:lineRule="auto"/>
        <w:rPr>
          <w:rFonts w:ascii="宋体" w:hAnsi="宋体" w:eastAsia="宋体"/>
          <w:sz w:val="24"/>
          <w:szCs w:val="32"/>
        </w:rPr>
      </w:pPr>
      <w:r>
        <w:rPr>
          <w:rFonts w:hint="eastAsia" w:ascii="宋体" w:hAnsi="宋体" w:eastAsia="宋体"/>
          <w:sz w:val="24"/>
          <w:szCs w:val="32"/>
        </w:rPr>
        <w:t>六、双方约定的其他工程质量保修事项</w:t>
      </w:r>
      <w:r>
        <w:rPr>
          <w:rFonts w:ascii="宋体" w:hAnsi="宋体" w:eastAsia="宋体"/>
          <w:sz w:val="24"/>
          <w:szCs w:val="32"/>
        </w:rPr>
        <w:t xml:space="preserve">: </w:t>
      </w:r>
      <w:r>
        <w:rPr>
          <w:rFonts w:ascii="宋体" w:hAnsi="宋体" w:eastAsia="宋体"/>
          <w:sz w:val="24"/>
          <w:szCs w:val="32"/>
          <w:u w:val="single"/>
        </w:rPr>
        <w:t xml:space="preserve">/ </w:t>
      </w:r>
      <w:r>
        <w:rPr>
          <w:rFonts w:hint="eastAsia" w:ascii="宋体" w:hAnsi="宋体" w:eastAsia="宋体"/>
          <w:sz w:val="24"/>
          <w:szCs w:val="32"/>
        </w:rPr>
        <w:t>。</w:t>
      </w:r>
    </w:p>
    <w:p>
      <w:pPr>
        <w:pStyle w:val="28"/>
        <w:spacing w:line="360" w:lineRule="auto"/>
        <w:ind w:firstLine="456" w:firstLineChars="190"/>
        <w:rPr>
          <w:rFonts w:ascii="宋体" w:hAnsi="宋体" w:eastAsia="宋体"/>
          <w:sz w:val="24"/>
        </w:rPr>
      </w:pPr>
      <w:r>
        <w:rPr>
          <w:rFonts w:hint="eastAsia" w:ascii="宋体" w:hAnsi="宋体" w:eastAsia="宋体"/>
          <w:sz w:val="24"/>
          <w:szCs w:val="32"/>
        </w:rPr>
        <w:t>工程质量保修书由发包人、承包人在工程竣工验收前共同签署，作为施工合同附件，</w:t>
      </w:r>
      <w:r>
        <w:rPr>
          <w:rFonts w:hint="eastAsia" w:ascii="宋体" w:hAnsi="宋体" w:eastAsia="宋体"/>
          <w:sz w:val="24"/>
        </w:rPr>
        <w:t>其有效期限至保修期满。</w:t>
      </w:r>
    </w:p>
    <w:p>
      <w:pPr>
        <w:pStyle w:val="28"/>
        <w:spacing w:line="360" w:lineRule="auto"/>
        <w:ind w:firstLine="420"/>
        <w:rPr>
          <w:rFonts w:ascii="宋体" w:hAnsi="宋体" w:eastAsia="宋体"/>
          <w:sz w:val="24"/>
        </w:rPr>
      </w:pPr>
    </w:p>
    <w:p>
      <w:pPr>
        <w:pStyle w:val="39"/>
      </w:pPr>
    </w:p>
    <w:tbl>
      <w:tblPr>
        <w:tblStyle w:val="18"/>
        <w:tblW w:w="0" w:type="auto"/>
        <w:tblInd w:w="0" w:type="dxa"/>
        <w:tblLayout w:type="fixed"/>
        <w:tblCellMar>
          <w:top w:w="0" w:type="dxa"/>
          <w:left w:w="108" w:type="dxa"/>
          <w:bottom w:w="0" w:type="dxa"/>
          <w:right w:w="108" w:type="dxa"/>
        </w:tblCellMar>
      </w:tblPr>
      <w:tblGrid>
        <w:gridCol w:w="5167"/>
        <w:gridCol w:w="4403"/>
      </w:tblGrid>
      <w:tr>
        <w:tblPrEx>
          <w:tblCellMar>
            <w:top w:w="0" w:type="dxa"/>
            <w:left w:w="108" w:type="dxa"/>
            <w:bottom w:w="0" w:type="dxa"/>
            <w:right w:w="108" w:type="dxa"/>
          </w:tblCellMar>
        </w:tblPrEx>
        <w:tc>
          <w:tcPr>
            <w:tcW w:w="5167" w:type="dxa"/>
          </w:tcPr>
          <w:p>
            <w:pPr>
              <w:pStyle w:val="28"/>
              <w:spacing w:line="360" w:lineRule="auto"/>
              <w:rPr>
                <w:rFonts w:ascii="宋体" w:hAnsi="宋体" w:eastAsia="宋体"/>
                <w:bCs/>
                <w:sz w:val="24"/>
              </w:rPr>
            </w:pPr>
            <w:r>
              <w:rPr>
                <w:rFonts w:hint="eastAsia" w:ascii="宋体" w:hAnsi="宋体" w:eastAsia="宋体"/>
                <w:bCs/>
                <w:sz w:val="24"/>
              </w:rPr>
              <w:t>发包人：</w:t>
            </w:r>
            <w:r>
              <w:rPr>
                <w:rFonts w:ascii="宋体" w:hAnsi="宋体" w:eastAsia="宋体"/>
                <w:bCs/>
                <w:sz w:val="24"/>
              </w:rPr>
              <w:t xml:space="preserve">  (公章)</w:t>
            </w:r>
          </w:p>
        </w:tc>
        <w:tc>
          <w:tcPr>
            <w:tcW w:w="4403" w:type="dxa"/>
          </w:tcPr>
          <w:p>
            <w:pPr>
              <w:pStyle w:val="28"/>
              <w:spacing w:line="360" w:lineRule="auto"/>
              <w:rPr>
                <w:rFonts w:ascii="宋体" w:hAnsi="宋体" w:eastAsia="宋体"/>
                <w:bCs/>
                <w:sz w:val="24"/>
              </w:rPr>
            </w:pPr>
            <w:r>
              <w:rPr>
                <w:rFonts w:hint="eastAsia" w:ascii="宋体" w:hAnsi="宋体" w:eastAsia="宋体"/>
                <w:bCs/>
                <w:sz w:val="24"/>
              </w:rPr>
              <w:t>承包人：</w:t>
            </w:r>
            <w:r>
              <w:rPr>
                <w:rFonts w:ascii="宋体" w:hAnsi="宋体" w:eastAsia="宋体"/>
                <w:bCs/>
                <w:sz w:val="24"/>
              </w:rPr>
              <w:t xml:space="preserve">  (公章)</w:t>
            </w:r>
          </w:p>
          <w:p>
            <w:pPr>
              <w:pStyle w:val="28"/>
              <w:spacing w:line="360" w:lineRule="auto"/>
              <w:rPr>
                <w:rFonts w:ascii="宋体" w:hAnsi="宋体" w:eastAsia="宋体"/>
                <w:bCs/>
                <w:sz w:val="24"/>
              </w:rPr>
            </w:pPr>
          </w:p>
        </w:tc>
      </w:tr>
      <w:tr>
        <w:tblPrEx>
          <w:tblCellMar>
            <w:top w:w="0" w:type="dxa"/>
            <w:left w:w="108" w:type="dxa"/>
            <w:bottom w:w="0" w:type="dxa"/>
            <w:right w:w="108" w:type="dxa"/>
          </w:tblCellMar>
        </w:tblPrEx>
        <w:tc>
          <w:tcPr>
            <w:tcW w:w="5167" w:type="dxa"/>
          </w:tcPr>
          <w:p>
            <w:pPr>
              <w:pStyle w:val="28"/>
              <w:spacing w:line="480" w:lineRule="auto"/>
              <w:rPr>
                <w:rFonts w:ascii="宋体" w:hAnsi="宋体" w:eastAsia="宋体"/>
                <w:bCs/>
                <w:sz w:val="24"/>
              </w:rPr>
            </w:pPr>
            <w:r>
              <w:rPr>
                <w:rFonts w:hint="eastAsia" w:ascii="宋体" w:hAnsi="宋体" w:eastAsia="宋体"/>
                <w:bCs/>
                <w:sz w:val="24"/>
              </w:rPr>
              <w:t>法定代表人或其委托代理人：（签字）</w:t>
            </w:r>
          </w:p>
          <w:p>
            <w:pPr>
              <w:pStyle w:val="28"/>
              <w:spacing w:line="480" w:lineRule="auto"/>
              <w:rPr>
                <w:rFonts w:ascii="宋体" w:hAnsi="宋体" w:eastAsia="宋体"/>
                <w:bCs/>
                <w:sz w:val="24"/>
              </w:rPr>
            </w:pPr>
            <w:r>
              <w:rPr>
                <w:rFonts w:hint="eastAsia" w:ascii="宋体" w:hAnsi="宋体" w:eastAsia="宋体"/>
                <w:bCs/>
                <w:sz w:val="24"/>
              </w:rPr>
              <w:t>经办人：（签字）</w:t>
            </w:r>
          </w:p>
        </w:tc>
        <w:tc>
          <w:tcPr>
            <w:tcW w:w="4403" w:type="dxa"/>
          </w:tcPr>
          <w:p>
            <w:pPr>
              <w:pStyle w:val="28"/>
              <w:spacing w:line="480" w:lineRule="auto"/>
              <w:rPr>
                <w:rFonts w:ascii="宋体" w:hAnsi="宋体" w:eastAsia="宋体"/>
                <w:bCs/>
                <w:sz w:val="24"/>
              </w:rPr>
            </w:pPr>
            <w:r>
              <w:rPr>
                <w:rFonts w:hint="eastAsia" w:ascii="宋体" w:hAnsi="宋体" w:eastAsia="宋体"/>
                <w:bCs/>
                <w:sz w:val="24"/>
              </w:rPr>
              <w:t>法定代表人或其委托代理人：（签字）</w:t>
            </w:r>
          </w:p>
          <w:p>
            <w:pPr>
              <w:pStyle w:val="28"/>
              <w:spacing w:line="480" w:lineRule="auto"/>
              <w:rPr>
                <w:rFonts w:ascii="宋体" w:hAnsi="宋体" w:eastAsia="宋体"/>
                <w:bCs/>
                <w:sz w:val="24"/>
              </w:rPr>
            </w:pPr>
            <w:r>
              <w:rPr>
                <w:rFonts w:hint="eastAsia" w:ascii="宋体" w:hAnsi="宋体" w:eastAsia="宋体"/>
                <w:bCs/>
                <w:sz w:val="24"/>
              </w:rPr>
              <w:t>经办人：（签字）</w:t>
            </w:r>
          </w:p>
        </w:tc>
      </w:tr>
      <w:tr>
        <w:tblPrEx>
          <w:tblCellMar>
            <w:top w:w="0" w:type="dxa"/>
            <w:left w:w="108" w:type="dxa"/>
            <w:bottom w:w="0" w:type="dxa"/>
            <w:right w:w="108" w:type="dxa"/>
          </w:tblCellMar>
        </w:tblPrEx>
        <w:tc>
          <w:tcPr>
            <w:tcW w:w="5167" w:type="dxa"/>
          </w:tcPr>
          <w:p>
            <w:pPr>
              <w:pStyle w:val="28"/>
              <w:spacing w:line="480" w:lineRule="auto"/>
              <w:rPr>
                <w:rFonts w:ascii="宋体" w:hAnsi="宋体" w:eastAsia="宋体"/>
                <w:bCs/>
                <w:sz w:val="24"/>
              </w:rPr>
            </w:pPr>
            <w:r>
              <w:rPr>
                <w:rFonts w:hint="eastAsia" w:ascii="宋体" w:hAnsi="宋体" w:eastAsia="宋体"/>
                <w:bCs/>
                <w:sz w:val="24"/>
              </w:rPr>
              <w:t>组织机构代码：</w:t>
            </w:r>
          </w:p>
        </w:tc>
        <w:tc>
          <w:tcPr>
            <w:tcW w:w="4403" w:type="dxa"/>
          </w:tcPr>
          <w:p>
            <w:pPr>
              <w:pStyle w:val="28"/>
              <w:spacing w:line="360" w:lineRule="auto"/>
              <w:rPr>
                <w:rFonts w:ascii="宋体" w:hAnsi="宋体" w:eastAsia="宋体"/>
                <w:bCs/>
                <w:sz w:val="24"/>
              </w:rPr>
            </w:pPr>
            <w:r>
              <w:rPr>
                <w:rFonts w:hint="eastAsia" w:ascii="宋体" w:hAnsi="宋体" w:eastAsia="宋体"/>
                <w:bCs/>
                <w:sz w:val="24"/>
              </w:rPr>
              <w:t>组织机构代码：</w:t>
            </w:r>
          </w:p>
        </w:tc>
      </w:tr>
      <w:tr>
        <w:tblPrEx>
          <w:tblCellMar>
            <w:top w:w="0" w:type="dxa"/>
            <w:left w:w="108" w:type="dxa"/>
            <w:bottom w:w="0" w:type="dxa"/>
            <w:right w:w="108" w:type="dxa"/>
          </w:tblCellMar>
        </w:tblPrEx>
        <w:tc>
          <w:tcPr>
            <w:tcW w:w="5167" w:type="dxa"/>
          </w:tcPr>
          <w:p>
            <w:pPr>
              <w:pStyle w:val="28"/>
              <w:spacing w:line="480" w:lineRule="auto"/>
              <w:rPr>
                <w:rFonts w:ascii="宋体" w:hAnsi="宋体" w:eastAsia="宋体"/>
                <w:bCs/>
                <w:sz w:val="24"/>
              </w:rPr>
            </w:pPr>
            <w:r>
              <w:rPr>
                <w:rFonts w:hint="eastAsia" w:ascii="宋体" w:hAnsi="宋体" w:eastAsia="宋体"/>
                <w:bCs/>
                <w:sz w:val="24"/>
              </w:rPr>
              <w:t>地</w:t>
            </w:r>
            <w:r>
              <w:rPr>
                <w:rFonts w:ascii="宋体" w:hAnsi="宋体" w:eastAsia="宋体"/>
                <w:bCs/>
                <w:sz w:val="24"/>
              </w:rPr>
              <w:t xml:space="preserve">  </w:t>
            </w:r>
            <w:r>
              <w:rPr>
                <w:rFonts w:hint="eastAsia" w:ascii="宋体" w:hAnsi="宋体" w:eastAsia="宋体"/>
                <w:bCs/>
                <w:sz w:val="24"/>
              </w:rPr>
              <w:t>址：</w:t>
            </w:r>
          </w:p>
        </w:tc>
        <w:tc>
          <w:tcPr>
            <w:tcW w:w="4403" w:type="dxa"/>
          </w:tcPr>
          <w:p>
            <w:pPr>
              <w:pStyle w:val="28"/>
              <w:spacing w:line="360" w:lineRule="auto"/>
              <w:rPr>
                <w:rFonts w:ascii="宋体" w:hAnsi="宋体" w:eastAsia="宋体"/>
                <w:bCs/>
                <w:sz w:val="24"/>
              </w:rPr>
            </w:pPr>
            <w:r>
              <w:rPr>
                <w:rFonts w:hint="eastAsia" w:ascii="宋体" w:hAnsi="宋体" w:eastAsia="宋体"/>
                <w:bCs/>
                <w:sz w:val="24"/>
              </w:rPr>
              <w:t>邮政编码：</w:t>
            </w:r>
          </w:p>
        </w:tc>
      </w:tr>
      <w:tr>
        <w:tblPrEx>
          <w:tblCellMar>
            <w:top w:w="0" w:type="dxa"/>
            <w:left w:w="108" w:type="dxa"/>
            <w:bottom w:w="0" w:type="dxa"/>
            <w:right w:w="108" w:type="dxa"/>
          </w:tblCellMar>
        </w:tblPrEx>
        <w:tc>
          <w:tcPr>
            <w:tcW w:w="5167" w:type="dxa"/>
          </w:tcPr>
          <w:p>
            <w:pPr>
              <w:pStyle w:val="28"/>
              <w:spacing w:line="480" w:lineRule="auto"/>
              <w:rPr>
                <w:rFonts w:ascii="宋体" w:hAnsi="宋体" w:eastAsia="宋体"/>
                <w:bCs/>
                <w:sz w:val="24"/>
              </w:rPr>
            </w:pPr>
            <w:r>
              <w:rPr>
                <w:rFonts w:hint="eastAsia" w:ascii="宋体" w:hAnsi="宋体" w:eastAsia="宋体"/>
                <w:bCs/>
                <w:sz w:val="24"/>
              </w:rPr>
              <w:t>法定代表人：</w:t>
            </w:r>
          </w:p>
        </w:tc>
        <w:tc>
          <w:tcPr>
            <w:tcW w:w="4403" w:type="dxa"/>
          </w:tcPr>
          <w:p>
            <w:pPr>
              <w:pStyle w:val="28"/>
              <w:spacing w:line="360" w:lineRule="auto"/>
              <w:rPr>
                <w:rFonts w:ascii="宋体" w:hAnsi="宋体" w:eastAsia="宋体"/>
                <w:bCs/>
                <w:sz w:val="24"/>
              </w:rPr>
            </w:pPr>
            <w:r>
              <w:rPr>
                <w:rFonts w:hint="eastAsia" w:ascii="宋体" w:hAnsi="宋体" w:eastAsia="宋体"/>
                <w:bCs/>
                <w:sz w:val="24"/>
              </w:rPr>
              <w:t>法定代表人：</w:t>
            </w:r>
          </w:p>
        </w:tc>
      </w:tr>
      <w:tr>
        <w:tblPrEx>
          <w:tblCellMar>
            <w:top w:w="0" w:type="dxa"/>
            <w:left w:w="108" w:type="dxa"/>
            <w:bottom w:w="0" w:type="dxa"/>
            <w:right w:w="108" w:type="dxa"/>
          </w:tblCellMar>
        </w:tblPrEx>
        <w:tc>
          <w:tcPr>
            <w:tcW w:w="5167" w:type="dxa"/>
          </w:tcPr>
          <w:p>
            <w:pPr>
              <w:pStyle w:val="28"/>
              <w:spacing w:line="480" w:lineRule="auto"/>
              <w:rPr>
                <w:rFonts w:ascii="宋体" w:hAnsi="宋体" w:eastAsia="宋体"/>
                <w:bCs/>
                <w:sz w:val="24"/>
              </w:rPr>
            </w:pPr>
            <w:r>
              <w:rPr>
                <w:rFonts w:hint="eastAsia" w:ascii="宋体" w:hAnsi="宋体" w:eastAsia="宋体"/>
                <w:bCs/>
                <w:sz w:val="24"/>
              </w:rPr>
              <w:t>委托代理人：</w:t>
            </w:r>
          </w:p>
        </w:tc>
        <w:tc>
          <w:tcPr>
            <w:tcW w:w="4403" w:type="dxa"/>
          </w:tcPr>
          <w:p>
            <w:pPr>
              <w:pStyle w:val="28"/>
              <w:spacing w:line="360" w:lineRule="auto"/>
              <w:rPr>
                <w:rFonts w:ascii="宋体" w:hAnsi="宋体" w:eastAsia="宋体"/>
                <w:bCs/>
                <w:sz w:val="24"/>
              </w:rPr>
            </w:pPr>
            <w:r>
              <w:rPr>
                <w:rFonts w:hint="eastAsia" w:ascii="宋体" w:hAnsi="宋体" w:eastAsia="宋体"/>
                <w:bCs/>
                <w:sz w:val="24"/>
              </w:rPr>
              <w:t>委托代理人：</w:t>
            </w:r>
          </w:p>
        </w:tc>
      </w:tr>
      <w:tr>
        <w:tblPrEx>
          <w:tblCellMar>
            <w:top w:w="0" w:type="dxa"/>
            <w:left w:w="108" w:type="dxa"/>
            <w:bottom w:w="0" w:type="dxa"/>
            <w:right w:w="108" w:type="dxa"/>
          </w:tblCellMar>
        </w:tblPrEx>
        <w:tc>
          <w:tcPr>
            <w:tcW w:w="5167" w:type="dxa"/>
          </w:tcPr>
          <w:p>
            <w:pPr>
              <w:pStyle w:val="28"/>
              <w:spacing w:line="480" w:lineRule="auto"/>
              <w:rPr>
                <w:rFonts w:ascii="宋体" w:hAnsi="宋体" w:eastAsia="宋体"/>
                <w:bCs/>
                <w:sz w:val="24"/>
              </w:rPr>
            </w:pPr>
            <w:r>
              <w:rPr>
                <w:rFonts w:hint="eastAsia" w:ascii="宋体" w:hAnsi="宋体" w:eastAsia="宋体"/>
                <w:bCs/>
                <w:sz w:val="24"/>
              </w:rPr>
              <w:t>电</w:t>
            </w:r>
            <w:r>
              <w:rPr>
                <w:rFonts w:ascii="宋体" w:hAnsi="宋体" w:eastAsia="宋体"/>
                <w:bCs/>
                <w:sz w:val="24"/>
              </w:rPr>
              <w:t xml:space="preserve">  </w:t>
            </w:r>
            <w:r>
              <w:rPr>
                <w:rFonts w:hint="eastAsia" w:ascii="宋体" w:hAnsi="宋体" w:eastAsia="宋体"/>
                <w:bCs/>
                <w:sz w:val="24"/>
              </w:rPr>
              <w:t>话：</w:t>
            </w:r>
          </w:p>
        </w:tc>
        <w:tc>
          <w:tcPr>
            <w:tcW w:w="4403" w:type="dxa"/>
          </w:tcPr>
          <w:p>
            <w:pPr>
              <w:pStyle w:val="28"/>
              <w:spacing w:line="360" w:lineRule="auto"/>
              <w:rPr>
                <w:rFonts w:ascii="宋体" w:hAnsi="宋体" w:eastAsia="宋体"/>
                <w:bCs/>
                <w:sz w:val="24"/>
              </w:rPr>
            </w:pPr>
            <w:r>
              <w:rPr>
                <w:rFonts w:hint="eastAsia" w:ascii="宋体" w:hAnsi="宋体" w:eastAsia="宋体"/>
                <w:bCs/>
                <w:sz w:val="24"/>
              </w:rPr>
              <w:t>电</w:t>
            </w:r>
            <w:r>
              <w:rPr>
                <w:rFonts w:ascii="宋体" w:hAnsi="宋体" w:eastAsia="宋体"/>
                <w:bCs/>
                <w:sz w:val="24"/>
              </w:rPr>
              <w:t xml:space="preserve">  </w:t>
            </w:r>
            <w:r>
              <w:rPr>
                <w:rFonts w:hint="eastAsia" w:ascii="宋体" w:hAnsi="宋体" w:eastAsia="宋体"/>
                <w:bCs/>
                <w:sz w:val="24"/>
              </w:rPr>
              <w:t>话：</w:t>
            </w:r>
          </w:p>
        </w:tc>
      </w:tr>
      <w:tr>
        <w:tblPrEx>
          <w:tblCellMar>
            <w:top w:w="0" w:type="dxa"/>
            <w:left w:w="108" w:type="dxa"/>
            <w:bottom w:w="0" w:type="dxa"/>
            <w:right w:w="108" w:type="dxa"/>
          </w:tblCellMar>
        </w:tblPrEx>
        <w:tc>
          <w:tcPr>
            <w:tcW w:w="5167" w:type="dxa"/>
          </w:tcPr>
          <w:p>
            <w:pPr>
              <w:pStyle w:val="28"/>
              <w:spacing w:line="480" w:lineRule="auto"/>
              <w:rPr>
                <w:rFonts w:ascii="宋体" w:hAnsi="宋体" w:eastAsia="宋体"/>
                <w:bCs/>
                <w:sz w:val="24"/>
              </w:rPr>
            </w:pPr>
            <w:r>
              <w:rPr>
                <w:rFonts w:hint="eastAsia" w:ascii="宋体" w:hAnsi="宋体" w:eastAsia="宋体"/>
                <w:bCs/>
                <w:sz w:val="24"/>
              </w:rPr>
              <w:t>传</w:t>
            </w:r>
            <w:r>
              <w:rPr>
                <w:rFonts w:ascii="宋体" w:hAnsi="宋体" w:eastAsia="宋体"/>
                <w:bCs/>
                <w:sz w:val="24"/>
              </w:rPr>
              <w:t xml:space="preserve">  </w:t>
            </w:r>
            <w:r>
              <w:rPr>
                <w:rFonts w:hint="eastAsia" w:ascii="宋体" w:hAnsi="宋体" w:eastAsia="宋体"/>
                <w:bCs/>
                <w:sz w:val="24"/>
              </w:rPr>
              <w:t>真：</w:t>
            </w:r>
          </w:p>
        </w:tc>
        <w:tc>
          <w:tcPr>
            <w:tcW w:w="4403" w:type="dxa"/>
          </w:tcPr>
          <w:p>
            <w:pPr>
              <w:pStyle w:val="28"/>
              <w:spacing w:line="360" w:lineRule="auto"/>
              <w:rPr>
                <w:rFonts w:ascii="宋体" w:hAnsi="宋体" w:eastAsia="宋体"/>
                <w:bCs/>
                <w:sz w:val="24"/>
              </w:rPr>
            </w:pPr>
            <w:r>
              <w:rPr>
                <w:rFonts w:hint="eastAsia" w:ascii="宋体" w:hAnsi="宋体" w:eastAsia="宋体"/>
                <w:bCs/>
                <w:sz w:val="24"/>
              </w:rPr>
              <w:t>传</w:t>
            </w:r>
            <w:r>
              <w:rPr>
                <w:rFonts w:ascii="宋体" w:hAnsi="宋体" w:eastAsia="宋体"/>
                <w:bCs/>
                <w:sz w:val="24"/>
              </w:rPr>
              <w:t xml:space="preserve">  </w:t>
            </w:r>
            <w:r>
              <w:rPr>
                <w:rFonts w:hint="eastAsia" w:ascii="宋体" w:hAnsi="宋体" w:eastAsia="宋体"/>
                <w:bCs/>
                <w:sz w:val="24"/>
              </w:rPr>
              <w:t>真：</w:t>
            </w:r>
          </w:p>
        </w:tc>
      </w:tr>
      <w:tr>
        <w:tblPrEx>
          <w:tblCellMar>
            <w:top w:w="0" w:type="dxa"/>
            <w:left w:w="108" w:type="dxa"/>
            <w:bottom w:w="0" w:type="dxa"/>
            <w:right w:w="108" w:type="dxa"/>
          </w:tblCellMar>
        </w:tblPrEx>
        <w:tc>
          <w:tcPr>
            <w:tcW w:w="5167" w:type="dxa"/>
          </w:tcPr>
          <w:p>
            <w:pPr>
              <w:pStyle w:val="28"/>
              <w:spacing w:line="480" w:lineRule="auto"/>
              <w:rPr>
                <w:rFonts w:ascii="宋体" w:hAnsi="宋体" w:eastAsia="宋体"/>
                <w:bCs/>
                <w:sz w:val="24"/>
              </w:rPr>
            </w:pPr>
            <w:r>
              <w:rPr>
                <w:rFonts w:hint="eastAsia" w:ascii="宋体" w:hAnsi="宋体" w:eastAsia="宋体"/>
                <w:bCs/>
                <w:sz w:val="24"/>
              </w:rPr>
              <w:t>电子信箱：</w:t>
            </w:r>
          </w:p>
        </w:tc>
        <w:tc>
          <w:tcPr>
            <w:tcW w:w="4403" w:type="dxa"/>
          </w:tcPr>
          <w:p>
            <w:pPr>
              <w:pStyle w:val="28"/>
              <w:spacing w:line="360" w:lineRule="auto"/>
              <w:rPr>
                <w:rFonts w:ascii="宋体" w:hAnsi="宋体" w:eastAsia="宋体"/>
                <w:bCs/>
                <w:sz w:val="24"/>
              </w:rPr>
            </w:pPr>
            <w:r>
              <w:rPr>
                <w:rFonts w:hint="eastAsia" w:ascii="宋体" w:hAnsi="宋体" w:eastAsia="宋体"/>
                <w:bCs/>
                <w:sz w:val="24"/>
              </w:rPr>
              <w:t>电子信箱：</w:t>
            </w:r>
          </w:p>
        </w:tc>
      </w:tr>
      <w:tr>
        <w:tblPrEx>
          <w:tblCellMar>
            <w:top w:w="0" w:type="dxa"/>
            <w:left w:w="108" w:type="dxa"/>
            <w:bottom w:w="0" w:type="dxa"/>
            <w:right w:w="108" w:type="dxa"/>
          </w:tblCellMar>
        </w:tblPrEx>
        <w:tc>
          <w:tcPr>
            <w:tcW w:w="5167" w:type="dxa"/>
          </w:tcPr>
          <w:p>
            <w:pPr>
              <w:pStyle w:val="28"/>
              <w:spacing w:line="480" w:lineRule="auto"/>
              <w:rPr>
                <w:rFonts w:ascii="宋体" w:hAnsi="宋体" w:eastAsia="宋体"/>
                <w:bCs/>
                <w:sz w:val="24"/>
              </w:rPr>
            </w:pPr>
            <w:r>
              <w:rPr>
                <w:rFonts w:hint="eastAsia" w:ascii="宋体" w:hAnsi="宋体" w:eastAsia="宋体"/>
                <w:bCs/>
                <w:sz w:val="24"/>
              </w:rPr>
              <w:t>开户银行：</w:t>
            </w:r>
          </w:p>
        </w:tc>
        <w:tc>
          <w:tcPr>
            <w:tcW w:w="4403" w:type="dxa"/>
          </w:tcPr>
          <w:p>
            <w:pPr>
              <w:pStyle w:val="28"/>
              <w:spacing w:line="360" w:lineRule="auto"/>
              <w:rPr>
                <w:rFonts w:ascii="宋体" w:hAnsi="宋体" w:eastAsia="宋体"/>
                <w:bCs/>
                <w:sz w:val="24"/>
              </w:rPr>
            </w:pPr>
            <w:r>
              <w:rPr>
                <w:rFonts w:hint="eastAsia" w:ascii="宋体" w:hAnsi="宋体" w:eastAsia="宋体"/>
                <w:bCs/>
                <w:sz w:val="24"/>
              </w:rPr>
              <w:t>开户银行：</w:t>
            </w:r>
          </w:p>
        </w:tc>
      </w:tr>
      <w:tr>
        <w:tblPrEx>
          <w:tblCellMar>
            <w:top w:w="0" w:type="dxa"/>
            <w:left w:w="108" w:type="dxa"/>
            <w:bottom w:w="0" w:type="dxa"/>
            <w:right w:w="108" w:type="dxa"/>
          </w:tblCellMar>
        </w:tblPrEx>
        <w:tc>
          <w:tcPr>
            <w:tcW w:w="5167" w:type="dxa"/>
          </w:tcPr>
          <w:p>
            <w:pPr>
              <w:pStyle w:val="28"/>
              <w:spacing w:line="480" w:lineRule="auto"/>
              <w:rPr>
                <w:rFonts w:ascii="宋体" w:hAnsi="宋体" w:eastAsia="宋体"/>
                <w:bCs/>
                <w:sz w:val="24"/>
              </w:rPr>
            </w:pPr>
            <w:r>
              <w:rPr>
                <w:rFonts w:hint="eastAsia" w:ascii="宋体" w:hAnsi="宋体" w:eastAsia="宋体"/>
                <w:bCs/>
                <w:sz w:val="24"/>
              </w:rPr>
              <w:t>账</w:t>
            </w:r>
            <w:r>
              <w:rPr>
                <w:rFonts w:ascii="宋体" w:hAnsi="宋体" w:eastAsia="宋体"/>
                <w:bCs/>
                <w:sz w:val="24"/>
              </w:rPr>
              <w:t xml:space="preserve">  </w:t>
            </w:r>
            <w:r>
              <w:rPr>
                <w:rFonts w:hint="eastAsia" w:ascii="宋体" w:hAnsi="宋体" w:eastAsia="宋体"/>
                <w:bCs/>
                <w:sz w:val="24"/>
              </w:rPr>
              <w:t>号：</w:t>
            </w:r>
          </w:p>
        </w:tc>
        <w:tc>
          <w:tcPr>
            <w:tcW w:w="4403" w:type="dxa"/>
          </w:tcPr>
          <w:p>
            <w:pPr>
              <w:pStyle w:val="28"/>
              <w:spacing w:line="360" w:lineRule="auto"/>
              <w:rPr>
                <w:rFonts w:ascii="宋体" w:hAnsi="宋体" w:eastAsia="宋体"/>
                <w:bCs/>
                <w:sz w:val="24"/>
              </w:rPr>
            </w:pPr>
            <w:r>
              <w:rPr>
                <w:rFonts w:hint="eastAsia" w:ascii="宋体" w:hAnsi="宋体" w:eastAsia="宋体"/>
                <w:bCs/>
                <w:sz w:val="24"/>
              </w:rPr>
              <w:t>账</w:t>
            </w:r>
            <w:r>
              <w:rPr>
                <w:rFonts w:ascii="宋体" w:hAnsi="宋体" w:eastAsia="宋体"/>
                <w:bCs/>
                <w:sz w:val="24"/>
              </w:rPr>
              <w:t xml:space="preserve">  </w:t>
            </w:r>
            <w:r>
              <w:rPr>
                <w:rFonts w:hint="eastAsia" w:ascii="宋体" w:hAnsi="宋体" w:eastAsia="宋体"/>
                <w:bCs/>
                <w:sz w:val="24"/>
              </w:rPr>
              <w:t>号：</w:t>
            </w:r>
          </w:p>
        </w:tc>
      </w:tr>
    </w:tbl>
    <w:p>
      <w:pPr>
        <w:pStyle w:val="28"/>
        <w:spacing w:line="440" w:lineRule="exact"/>
        <w:rPr>
          <w:rFonts w:ascii="宋体" w:hAnsi="宋体" w:eastAsia="宋体"/>
          <w:b/>
          <w:bCs/>
          <w:sz w:val="24"/>
        </w:rPr>
      </w:pPr>
      <w:r>
        <w:rPr>
          <w:rFonts w:ascii="宋体" w:hAnsi="宋体" w:eastAsia="宋体"/>
          <w:b/>
          <w:sz w:val="24"/>
        </w:rPr>
        <w:br w:type="page"/>
      </w:r>
      <w:r>
        <w:rPr>
          <w:rFonts w:hint="eastAsia" w:ascii="宋体" w:hAnsi="宋体" w:eastAsia="宋体"/>
          <w:b/>
          <w:bCs/>
          <w:sz w:val="24"/>
        </w:rPr>
        <w:t>附件</w:t>
      </w:r>
      <w:r>
        <w:rPr>
          <w:rFonts w:ascii="宋体" w:hAnsi="宋体" w:eastAsia="宋体"/>
          <w:b/>
          <w:bCs/>
          <w:sz w:val="24"/>
        </w:rPr>
        <w:t>3：</w:t>
      </w:r>
    </w:p>
    <w:p>
      <w:pPr>
        <w:pStyle w:val="28"/>
        <w:spacing w:before="120" w:beforeLines="50" w:after="120" w:afterLines="50" w:line="440" w:lineRule="exact"/>
        <w:jc w:val="center"/>
        <w:rPr>
          <w:rFonts w:ascii="宋体" w:hAnsi="宋体" w:eastAsia="宋体"/>
          <w:sz w:val="24"/>
        </w:rPr>
      </w:pPr>
      <w:r>
        <w:rPr>
          <w:rFonts w:hint="eastAsia" w:ascii="宋体" w:hAnsi="宋体" w:eastAsia="宋体"/>
          <w:sz w:val="24"/>
        </w:rPr>
        <w:t>承包人用于本工程施工的机械设备表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3"/>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3" w:type="dxa"/>
            <w:tcBorders>
              <w:top w:val="single" w:color="auto" w:sz="12" w:space="0"/>
              <w:left w:val="single" w:color="auto" w:sz="12" w:space="0"/>
              <w:bottom w:val="double" w:color="auto" w:sz="2" w:space="0"/>
              <w:right w:val="single" w:color="auto" w:sz="6" w:space="0"/>
            </w:tcBorders>
            <w:vAlign w:val="center"/>
          </w:tcPr>
          <w:p>
            <w:pPr>
              <w:pStyle w:val="28"/>
              <w:keepNext/>
              <w:spacing w:before="100" w:beforeAutospacing="1" w:after="100" w:afterAutospacing="1" w:line="440" w:lineRule="exact"/>
              <w:ind w:right="63"/>
              <w:jc w:val="center"/>
              <w:rPr>
                <w:rFonts w:ascii="宋体" w:hAnsi="宋体" w:eastAsia="宋体"/>
                <w:sz w:val="24"/>
              </w:rPr>
            </w:pPr>
            <w:r>
              <w:rPr>
                <w:rFonts w:hint="eastAsia" w:ascii="宋体" w:hAnsi="宋体" w:eastAsia="宋体"/>
                <w:sz w:val="24"/>
              </w:rPr>
              <w:t>序号</w:t>
            </w:r>
          </w:p>
        </w:tc>
        <w:tc>
          <w:tcPr>
            <w:tcW w:w="1418" w:type="dxa"/>
            <w:tcBorders>
              <w:top w:val="single" w:color="auto" w:sz="12" w:space="0"/>
              <w:left w:val="nil"/>
              <w:bottom w:val="double" w:color="auto" w:sz="2" w:space="0"/>
              <w:right w:val="single" w:color="auto" w:sz="6" w:space="0"/>
            </w:tcBorders>
            <w:vAlign w:val="center"/>
          </w:tcPr>
          <w:p>
            <w:pPr>
              <w:pStyle w:val="28"/>
              <w:keepNext/>
              <w:spacing w:before="100" w:beforeAutospacing="1" w:after="100" w:afterAutospacing="1" w:line="440" w:lineRule="exact"/>
              <w:ind w:right="63"/>
              <w:jc w:val="center"/>
              <w:rPr>
                <w:rFonts w:ascii="宋体" w:hAnsi="宋体" w:eastAsia="宋体"/>
                <w:sz w:val="24"/>
              </w:rPr>
            </w:pPr>
            <w:r>
              <w:rPr>
                <w:rFonts w:hint="eastAsia" w:ascii="宋体" w:hAnsi="宋体" w:eastAsia="宋体"/>
                <w:sz w:val="24"/>
              </w:rPr>
              <w:t>机械或设备名称</w:t>
            </w:r>
          </w:p>
        </w:tc>
        <w:tc>
          <w:tcPr>
            <w:tcW w:w="850" w:type="dxa"/>
            <w:tcBorders>
              <w:top w:val="single" w:color="auto" w:sz="12" w:space="0"/>
              <w:left w:val="nil"/>
              <w:bottom w:val="double" w:color="auto" w:sz="2" w:space="0"/>
              <w:right w:val="single" w:color="auto" w:sz="6" w:space="0"/>
            </w:tcBorders>
            <w:vAlign w:val="center"/>
          </w:tcPr>
          <w:p>
            <w:pPr>
              <w:pStyle w:val="28"/>
              <w:jc w:val="center"/>
              <w:rPr>
                <w:rFonts w:ascii="宋体" w:hAnsi="宋体" w:eastAsia="宋体"/>
              </w:rPr>
            </w:pPr>
            <w:r>
              <w:rPr>
                <w:rFonts w:hint="eastAsia" w:ascii="宋体" w:hAnsi="宋体" w:eastAsia="宋体"/>
                <w:sz w:val="24"/>
              </w:rPr>
              <w:t>规格型号</w:t>
            </w:r>
          </w:p>
        </w:tc>
        <w:tc>
          <w:tcPr>
            <w:tcW w:w="1058" w:type="dxa"/>
            <w:tcBorders>
              <w:top w:val="single" w:color="auto" w:sz="12" w:space="0"/>
              <w:left w:val="nil"/>
              <w:bottom w:val="double" w:color="auto" w:sz="2" w:space="0"/>
              <w:right w:val="single" w:color="auto" w:sz="6" w:space="0"/>
            </w:tcBorders>
            <w:vAlign w:val="center"/>
          </w:tcPr>
          <w:p>
            <w:pPr>
              <w:pStyle w:val="28"/>
              <w:jc w:val="center"/>
              <w:rPr>
                <w:rFonts w:ascii="宋体" w:hAnsi="宋体" w:eastAsia="宋体"/>
              </w:rPr>
            </w:pPr>
            <w:r>
              <w:rPr>
                <w:rFonts w:hint="eastAsia" w:ascii="宋体" w:hAnsi="宋体" w:eastAsia="宋体"/>
                <w:sz w:val="24"/>
              </w:rPr>
              <w:t>数量</w:t>
            </w:r>
          </w:p>
        </w:tc>
        <w:tc>
          <w:tcPr>
            <w:tcW w:w="880" w:type="dxa"/>
            <w:tcBorders>
              <w:top w:val="single" w:color="auto" w:sz="12" w:space="0"/>
              <w:left w:val="nil"/>
              <w:bottom w:val="double" w:color="auto" w:sz="2" w:space="0"/>
              <w:right w:val="single" w:color="auto" w:sz="6" w:space="0"/>
            </w:tcBorders>
            <w:vAlign w:val="center"/>
          </w:tcPr>
          <w:p>
            <w:pPr>
              <w:pStyle w:val="28"/>
              <w:keepNext/>
              <w:spacing w:before="100" w:beforeAutospacing="1" w:after="100" w:afterAutospacing="1" w:line="440" w:lineRule="exact"/>
              <w:ind w:right="63"/>
              <w:jc w:val="center"/>
              <w:rPr>
                <w:rFonts w:ascii="宋体" w:hAnsi="宋体" w:eastAsia="宋体"/>
                <w:sz w:val="24"/>
              </w:rPr>
            </w:pPr>
            <w:r>
              <w:rPr>
                <w:rFonts w:hint="eastAsia" w:ascii="宋体" w:hAnsi="宋体" w:eastAsia="宋体"/>
                <w:sz w:val="24"/>
              </w:rPr>
              <w:t>产地</w:t>
            </w:r>
          </w:p>
        </w:tc>
        <w:tc>
          <w:tcPr>
            <w:tcW w:w="1020" w:type="dxa"/>
            <w:tcBorders>
              <w:top w:val="single" w:color="auto" w:sz="12" w:space="0"/>
              <w:left w:val="nil"/>
              <w:bottom w:val="double" w:color="auto" w:sz="2" w:space="0"/>
              <w:right w:val="single" w:color="auto" w:sz="6" w:space="0"/>
            </w:tcBorders>
            <w:vAlign w:val="center"/>
          </w:tcPr>
          <w:p>
            <w:pPr>
              <w:pStyle w:val="28"/>
              <w:keepNext/>
              <w:spacing w:before="100" w:beforeAutospacing="1" w:after="100" w:afterAutospacing="1" w:line="440" w:lineRule="exact"/>
              <w:ind w:right="63"/>
              <w:jc w:val="center"/>
              <w:rPr>
                <w:rFonts w:ascii="宋体" w:hAnsi="宋体" w:eastAsia="宋体"/>
                <w:sz w:val="24"/>
              </w:rPr>
            </w:pPr>
            <w:r>
              <w:rPr>
                <w:rFonts w:hint="eastAsia" w:ascii="宋体" w:hAnsi="宋体" w:eastAsia="宋体"/>
                <w:sz w:val="24"/>
              </w:rPr>
              <w:t>制造年份</w:t>
            </w:r>
          </w:p>
        </w:tc>
        <w:tc>
          <w:tcPr>
            <w:tcW w:w="1480" w:type="dxa"/>
            <w:tcBorders>
              <w:top w:val="single" w:color="auto" w:sz="12" w:space="0"/>
              <w:left w:val="nil"/>
              <w:bottom w:val="double" w:color="auto" w:sz="2" w:space="0"/>
              <w:right w:val="single" w:color="auto" w:sz="6" w:space="0"/>
            </w:tcBorders>
            <w:vAlign w:val="center"/>
          </w:tcPr>
          <w:p>
            <w:pPr>
              <w:pStyle w:val="28"/>
              <w:keepNext/>
              <w:spacing w:before="100" w:beforeAutospacing="1" w:after="100" w:afterAutospacing="1" w:line="440" w:lineRule="exact"/>
              <w:ind w:right="63"/>
              <w:jc w:val="center"/>
              <w:rPr>
                <w:rFonts w:ascii="宋体" w:hAnsi="宋体" w:eastAsia="宋体"/>
                <w:sz w:val="24"/>
              </w:rPr>
            </w:pPr>
            <w:r>
              <w:rPr>
                <w:rFonts w:hint="eastAsia" w:ascii="宋体" w:hAnsi="宋体" w:eastAsia="宋体"/>
                <w:sz w:val="24"/>
              </w:rPr>
              <w:t>额定功率</w:t>
            </w:r>
            <w:r>
              <w:rPr>
                <w:rFonts w:ascii="宋体" w:hAnsi="宋体" w:eastAsia="宋体"/>
                <w:sz w:val="24"/>
              </w:rPr>
              <w:t>(kW)</w:t>
            </w:r>
          </w:p>
        </w:tc>
        <w:tc>
          <w:tcPr>
            <w:tcW w:w="1020" w:type="dxa"/>
            <w:tcBorders>
              <w:top w:val="single" w:color="auto" w:sz="12" w:space="0"/>
              <w:left w:val="nil"/>
              <w:bottom w:val="double" w:color="auto" w:sz="2" w:space="0"/>
              <w:right w:val="single" w:color="auto" w:sz="6" w:space="0"/>
            </w:tcBorders>
            <w:vAlign w:val="center"/>
          </w:tcPr>
          <w:p>
            <w:pPr>
              <w:pStyle w:val="28"/>
              <w:keepNext/>
              <w:spacing w:before="100" w:beforeAutospacing="1" w:after="100" w:afterAutospacing="1" w:line="440" w:lineRule="exact"/>
              <w:ind w:right="63"/>
              <w:jc w:val="center"/>
              <w:rPr>
                <w:rFonts w:ascii="宋体" w:hAnsi="宋体" w:eastAsia="宋体"/>
                <w:sz w:val="24"/>
              </w:rPr>
            </w:pPr>
            <w:r>
              <w:rPr>
                <w:rFonts w:hint="eastAsia" w:ascii="宋体" w:hAnsi="宋体" w:eastAsia="宋体"/>
                <w:sz w:val="24"/>
              </w:rPr>
              <w:t>生产能力</w:t>
            </w:r>
          </w:p>
        </w:tc>
        <w:tc>
          <w:tcPr>
            <w:tcW w:w="921" w:type="dxa"/>
            <w:tcBorders>
              <w:top w:val="single" w:color="auto" w:sz="12" w:space="0"/>
              <w:left w:val="nil"/>
              <w:bottom w:val="double" w:color="auto" w:sz="2" w:space="0"/>
              <w:right w:val="single" w:color="auto" w:sz="12" w:space="0"/>
            </w:tcBorders>
            <w:vAlign w:val="center"/>
          </w:tcPr>
          <w:p>
            <w:pPr>
              <w:pStyle w:val="28"/>
              <w:keepNext/>
              <w:spacing w:before="100" w:beforeAutospacing="1" w:after="100" w:afterAutospacing="1" w:line="440" w:lineRule="exact"/>
              <w:ind w:right="63"/>
              <w:jc w:val="center"/>
              <w:rPr>
                <w:rFonts w:ascii="宋体" w:hAnsi="宋体" w:eastAsia="宋体"/>
                <w:sz w:val="24"/>
              </w:rPr>
            </w:pPr>
            <w:r>
              <w:rPr>
                <w:rFonts w:hint="eastAsia" w:ascii="宋体" w:hAnsi="宋体" w:eastAsia="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double" w:color="auto" w:sz="2" w:space="0"/>
              <w:left w:val="single" w:color="auto" w:sz="12" w:space="0"/>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1418" w:type="dxa"/>
            <w:tcBorders>
              <w:top w:val="double" w:color="auto" w:sz="2"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850" w:type="dxa"/>
            <w:tcBorders>
              <w:top w:val="double" w:color="auto" w:sz="2"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1058" w:type="dxa"/>
            <w:tcBorders>
              <w:top w:val="double" w:color="auto" w:sz="2"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880" w:type="dxa"/>
            <w:tcBorders>
              <w:top w:val="double" w:color="auto" w:sz="2"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1020" w:type="dxa"/>
            <w:tcBorders>
              <w:top w:val="double" w:color="auto" w:sz="2"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1480" w:type="dxa"/>
            <w:tcBorders>
              <w:top w:val="double" w:color="auto" w:sz="2"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1020" w:type="dxa"/>
            <w:tcBorders>
              <w:top w:val="double" w:color="auto" w:sz="2"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921" w:type="dxa"/>
            <w:tcBorders>
              <w:top w:val="double" w:color="auto" w:sz="2" w:space="0"/>
              <w:left w:val="nil"/>
              <w:bottom w:val="single" w:color="auto" w:sz="6" w:space="0"/>
              <w:right w:val="single" w:color="auto" w:sz="12"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nil"/>
              <w:left w:val="single" w:color="auto" w:sz="12" w:space="0"/>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1418" w:type="dxa"/>
            <w:tcBorders>
              <w:top w:val="nil"/>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850" w:type="dxa"/>
            <w:tcBorders>
              <w:top w:val="nil"/>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1058" w:type="dxa"/>
            <w:tcBorders>
              <w:top w:val="nil"/>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880" w:type="dxa"/>
            <w:tcBorders>
              <w:top w:val="nil"/>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1020" w:type="dxa"/>
            <w:tcBorders>
              <w:top w:val="nil"/>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1480" w:type="dxa"/>
            <w:tcBorders>
              <w:top w:val="nil"/>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1020" w:type="dxa"/>
            <w:tcBorders>
              <w:top w:val="nil"/>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c>
          <w:tcPr>
            <w:tcW w:w="921" w:type="dxa"/>
            <w:tcBorders>
              <w:top w:val="nil"/>
              <w:left w:val="nil"/>
              <w:bottom w:val="single" w:color="auto" w:sz="6" w:space="0"/>
              <w:right w:val="single" w:color="auto" w:sz="12" w:space="0"/>
            </w:tcBorders>
            <w:vAlign w:val="center"/>
          </w:tcPr>
          <w:p>
            <w:pPr>
              <w:pStyle w:val="28"/>
              <w:keepNext/>
              <w:spacing w:before="100" w:beforeAutospacing="1" w:after="100" w:afterAutospacing="1" w:line="440" w:lineRule="exact"/>
              <w:ind w:left="1260" w:right="63"/>
              <w:jc w:val="center"/>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single" w:color="auto" w:sz="6" w:space="0"/>
              <w:left w:val="single" w:color="auto" w:sz="12" w:space="0"/>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1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5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5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921" w:type="dxa"/>
            <w:tcBorders>
              <w:top w:val="single" w:color="auto" w:sz="6" w:space="0"/>
              <w:left w:val="nil"/>
              <w:bottom w:val="single" w:color="auto" w:sz="6" w:space="0"/>
              <w:right w:val="single" w:color="auto" w:sz="12"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single" w:color="auto" w:sz="6" w:space="0"/>
              <w:left w:val="single" w:color="auto" w:sz="12" w:space="0"/>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1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5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5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921" w:type="dxa"/>
            <w:tcBorders>
              <w:top w:val="single" w:color="auto" w:sz="6" w:space="0"/>
              <w:left w:val="nil"/>
              <w:bottom w:val="single" w:color="auto" w:sz="6" w:space="0"/>
              <w:right w:val="single" w:color="auto" w:sz="12"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single" w:color="auto" w:sz="6" w:space="0"/>
              <w:left w:val="single" w:color="auto" w:sz="12" w:space="0"/>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1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5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5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921" w:type="dxa"/>
            <w:tcBorders>
              <w:top w:val="single" w:color="auto" w:sz="6" w:space="0"/>
              <w:left w:val="nil"/>
              <w:bottom w:val="single" w:color="auto" w:sz="6" w:space="0"/>
              <w:right w:val="single" w:color="auto" w:sz="12"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single" w:color="auto" w:sz="6" w:space="0"/>
              <w:left w:val="single" w:color="auto" w:sz="12" w:space="0"/>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1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5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5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921" w:type="dxa"/>
            <w:tcBorders>
              <w:top w:val="single" w:color="auto" w:sz="6" w:space="0"/>
              <w:left w:val="nil"/>
              <w:bottom w:val="single" w:color="auto" w:sz="6" w:space="0"/>
              <w:right w:val="single" w:color="auto" w:sz="12"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single" w:color="auto" w:sz="6" w:space="0"/>
              <w:left w:val="single" w:color="auto" w:sz="12" w:space="0"/>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1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5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5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921" w:type="dxa"/>
            <w:tcBorders>
              <w:top w:val="single" w:color="auto" w:sz="6" w:space="0"/>
              <w:left w:val="nil"/>
              <w:bottom w:val="single" w:color="auto" w:sz="6" w:space="0"/>
              <w:right w:val="single" w:color="auto" w:sz="12"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single" w:color="auto" w:sz="6" w:space="0"/>
              <w:left w:val="single" w:color="auto" w:sz="12" w:space="0"/>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1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5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5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921" w:type="dxa"/>
            <w:tcBorders>
              <w:top w:val="single" w:color="auto" w:sz="6" w:space="0"/>
              <w:left w:val="nil"/>
              <w:bottom w:val="single" w:color="auto" w:sz="6" w:space="0"/>
              <w:right w:val="single" w:color="auto" w:sz="12"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single" w:color="auto" w:sz="6" w:space="0"/>
              <w:left w:val="single" w:color="auto" w:sz="12" w:space="0"/>
              <w:bottom w:val="single" w:color="auto" w:sz="6" w:space="0"/>
              <w:right w:val="single" w:color="auto" w:sz="6" w:space="0"/>
            </w:tcBorders>
          </w:tcPr>
          <w:p>
            <w:pPr>
              <w:pStyle w:val="28"/>
              <w:rPr>
                <w:rFonts w:ascii="宋体" w:hAnsi="宋体" w:eastAsia="宋体"/>
                <w:sz w:val="24"/>
              </w:rPr>
            </w:pPr>
          </w:p>
        </w:tc>
        <w:tc>
          <w:tcPr>
            <w:tcW w:w="1418"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85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58"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88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2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48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2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921" w:type="dxa"/>
            <w:tcBorders>
              <w:top w:val="single" w:color="auto" w:sz="6" w:space="0"/>
              <w:left w:val="nil"/>
              <w:bottom w:val="single" w:color="auto" w:sz="6" w:space="0"/>
              <w:right w:val="single" w:color="auto" w:sz="12" w:space="0"/>
            </w:tcBorders>
          </w:tcPr>
          <w:p>
            <w:pPr>
              <w:pStyle w:val="28"/>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single" w:color="auto" w:sz="6" w:space="0"/>
              <w:left w:val="single" w:color="auto" w:sz="12" w:space="0"/>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1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5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58"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8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48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1020" w:type="dxa"/>
            <w:tcBorders>
              <w:top w:val="single" w:color="auto" w:sz="6" w:space="0"/>
              <w:left w:val="nil"/>
              <w:bottom w:val="single" w:color="auto" w:sz="6" w:space="0"/>
              <w:right w:val="single" w:color="auto" w:sz="6"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c>
          <w:tcPr>
            <w:tcW w:w="921" w:type="dxa"/>
            <w:tcBorders>
              <w:top w:val="single" w:color="auto" w:sz="6" w:space="0"/>
              <w:left w:val="nil"/>
              <w:bottom w:val="single" w:color="auto" w:sz="6" w:space="0"/>
              <w:right w:val="single" w:color="auto" w:sz="12" w:space="0"/>
            </w:tcBorders>
            <w:vAlign w:val="center"/>
          </w:tcPr>
          <w:p>
            <w:pPr>
              <w:pStyle w:val="28"/>
              <w:keepNext/>
              <w:spacing w:before="100" w:beforeAutospacing="1" w:after="100" w:afterAutospacing="1" w:line="440" w:lineRule="exact"/>
              <w:ind w:left="1260"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single" w:color="auto" w:sz="6" w:space="0"/>
              <w:left w:val="single" w:color="auto" w:sz="12" w:space="0"/>
              <w:bottom w:val="single" w:color="auto" w:sz="6" w:space="0"/>
              <w:right w:val="single" w:color="auto" w:sz="6" w:space="0"/>
            </w:tcBorders>
          </w:tcPr>
          <w:p>
            <w:pPr>
              <w:pStyle w:val="28"/>
              <w:rPr>
                <w:rFonts w:ascii="宋体" w:hAnsi="宋体" w:eastAsia="宋体"/>
                <w:sz w:val="24"/>
              </w:rPr>
            </w:pPr>
          </w:p>
        </w:tc>
        <w:tc>
          <w:tcPr>
            <w:tcW w:w="1418"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85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58"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88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2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48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2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921" w:type="dxa"/>
            <w:tcBorders>
              <w:top w:val="single" w:color="auto" w:sz="6" w:space="0"/>
              <w:left w:val="nil"/>
              <w:bottom w:val="single" w:color="auto" w:sz="6" w:space="0"/>
              <w:right w:val="single" w:color="auto" w:sz="12" w:space="0"/>
            </w:tcBorders>
          </w:tcPr>
          <w:p>
            <w:pPr>
              <w:pStyle w:val="28"/>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single" w:color="auto" w:sz="6" w:space="0"/>
              <w:left w:val="single" w:color="auto" w:sz="12" w:space="0"/>
              <w:bottom w:val="single" w:color="auto" w:sz="6" w:space="0"/>
              <w:right w:val="single" w:color="auto" w:sz="6" w:space="0"/>
            </w:tcBorders>
          </w:tcPr>
          <w:p>
            <w:pPr>
              <w:pStyle w:val="28"/>
              <w:rPr>
                <w:rFonts w:ascii="宋体" w:hAnsi="宋体" w:eastAsia="宋体"/>
                <w:sz w:val="24"/>
              </w:rPr>
            </w:pPr>
          </w:p>
        </w:tc>
        <w:tc>
          <w:tcPr>
            <w:tcW w:w="1418"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85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58"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88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2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48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2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921" w:type="dxa"/>
            <w:tcBorders>
              <w:top w:val="single" w:color="auto" w:sz="6" w:space="0"/>
              <w:left w:val="nil"/>
              <w:bottom w:val="single" w:color="auto" w:sz="6" w:space="0"/>
              <w:right w:val="single" w:color="auto" w:sz="12" w:space="0"/>
            </w:tcBorders>
          </w:tcPr>
          <w:p>
            <w:pPr>
              <w:pStyle w:val="28"/>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single" w:color="auto" w:sz="6" w:space="0"/>
              <w:left w:val="single" w:color="auto" w:sz="12" w:space="0"/>
              <w:bottom w:val="single" w:color="auto" w:sz="6" w:space="0"/>
              <w:right w:val="single" w:color="auto" w:sz="6" w:space="0"/>
            </w:tcBorders>
          </w:tcPr>
          <w:p>
            <w:pPr>
              <w:pStyle w:val="28"/>
              <w:rPr>
                <w:rFonts w:ascii="宋体" w:hAnsi="宋体" w:eastAsia="宋体"/>
                <w:sz w:val="24"/>
              </w:rPr>
            </w:pPr>
          </w:p>
        </w:tc>
        <w:tc>
          <w:tcPr>
            <w:tcW w:w="1418"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85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58"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88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2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48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2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921" w:type="dxa"/>
            <w:tcBorders>
              <w:top w:val="single" w:color="auto" w:sz="6" w:space="0"/>
              <w:left w:val="nil"/>
              <w:bottom w:val="single" w:color="auto" w:sz="6" w:space="0"/>
              <w:right w:val="single" w:color="auto" w:sz="12" w:space="0"/>
            </w:tcBorders>
          </w:tcPr>
          <w:p>
            <w:pPr>
              <w:pStyle w:val="28"/>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single" w:color="auto" w:sz="6" w:space="0"/>
              <w:left w:val="single" w:color="auto" w:sz="12" w:space="0"/>
              <w:bottom w:val="single" w:color="auto" w:sz="6" w:space="0"/>
              <w:right w:val="single" w:color="auto" w:sz="6" w:space="0"/>
            </w:tcBorders>
          </w:tcPr>
          <w:p>
            <w:pPr>
              <w:pStyle w:val="28"/>
              <w:rPr>
                <w:rFonts w:ascii="宋体" w:hAnsi="宋体" w:eastAsia="宋体"/>
                <w:sz w:val="24"/>
              </w:rPr>
            </w:pPr>
          </w:p>
        </w:tc>
        <w:tc>
          <w:tcPr>
            <w:tcW w:w="1418"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85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58"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88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2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48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2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921" w:type="dxa"/>
            <w:tcBorders>
              <w:top w:val="single" w:color="auto" w:sz="6" w:space="0"/>
              <w:left w:val="nil"/>
              <w:bottom w:val="single" w:color="auto" w:sz="6" w:space="0"/>
              <w:right w:val="single" w:color="auto" w:sz="12" w:space="0"/>
            </w:tcBorders>
          </w:tcPr>
          <w:p>
            <w:pPr>
              <w:pStyle w:val="28"/>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3" w:type="dxa"/>
            <w:tcBorders>
              <w:top w:val="single" w:color="auto" w:sz="6" w:space="0"/>
              <w:left w:val="single" w:color="auto" w:sz="12" w:space="0"/>
              <w:bottom w:val="single" w:color="auto" w:sz="6" w:space="0"/>
              <w:right w:val="single" w:color="auto" w:sz="6" w:space="0"/>
            </w:tcBorders>
          </w:tcPr>
          <w:p>
            <w:pPr>
              <w:pStyle w:val="28"/>
              <w:rPr>
                <w:rFonts w:ascii="宋体" w:hAnsi="宋体" w:eastAsia="宋体"/>
                <w:sz w:val="24"/>
              </w:rPr>
            </w:pPr>
          </w:p>
        </w:tc>
        <w:tc>
          <w:tcPr>
            <w:tcW w:w="1418"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85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58"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88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2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48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1020" w:type="dxa"/>
            <w:tcBorders>
              <w:top w:val="single" w:color="auto" w:sz="6" w:space="0"/>
              <w:left w:val="nil"/>
              <w:bottom w:val="single" w:color="auto" w:sz="6" w:space="0"/>
              <w:right w:val="single" w:color="auto" w:sz="6" w:space="0"/>
            </w:tcBorders>
          </w:tcPr>
          <w:p>
            <w:pPr>
              <w:pStyle w:val="28"/>
              <w:rPr>
                <w:rFonts w:ascii="宋体" w:hAnsi="宋体" w:eastAsia="宋体"/>
                <w:sz w:val="24"/>
              </w:rPr>
            </w:pPr>
          </w:p>
        </w:tc>
        <w:tc>
          <w:tcPr>
            <w:tcW w:w="921" w:type="dxa"/>
            <w:tcBorders>
              <w:top w:val="single" w:color="auto" w:sz="6" w:space="0"/>
              <w:left w:val="nil"/>
              <w:bottom w:val="single" w:color="auto" w:sz="6" w:space="0"/>
              <w:right w:val="single" w:color="auto" w:sz="12" w:space="0"/>
            </w:tcBorders>
          </w:tcPr>
          <w:p>
            <w:pPr>
              <w:pStyle w:val="28"/>
              <w:rPr>
                <w:rFonts w:ascii="宋体" w:hAnsi="宋体" w:eastAsia="宋体"/>
                <w:sz w:val="24"/>
              </w:rPr>
            </w:pPr>
          </w:p>
        </w:tc>
      </w:tr>
    </w:tbl>
    <w:p>
      <w:pPr>
        <w:pStyle w:val="28"/>
        <w:spacing w:before="120" w:beforeLines="50" w:after="120" w:afterLines="50" w:line="440" w:lineRule="exact"/>
        <w:jc w:val="center"/>
        <w:rPr>
          <w:rFonts w:ascii="宋体" w:hAnsi="宋体" w:eastAsia="宋体"/>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spacing w:line="440" w:lineRule="exact"/>
        <w:rPr>
          <w:rFonts w:ascii="宋体" w:hAnsi="宋体" w:eastAsia="宋体"/>
          <w:b/>
          <w:bCs/>
          <w:sz w:val="24"/>
        </w:rPr>
      </w:pPr>
      <w:r>
        <w:rPr>
          <w:rFonts w:hint="eastAsia" w:ascii="宋体" w:hAnsi="宋体" w:eastAsia="宋体"/>
          <w:b/>
          <w:bCs/>
          <w:sz w:val="24"/>
        </w:rPr>
        <w:t>附件</w:t>
      </w:r>
      <w:r>
        <w:rPr>
          <w:rFonts w:ascii="宋体" w:hAnsi="宋体" w:eastAsia="宋体"/>
          <w:b/>
          <w:bCs/>
          <w:sz w:val="24"/>
        </w:rPr>
        <w:t>4：</w:t>
      </w:r>
    </w:p>
    <w:p>
      <w:pPr>
        <w:pStyle w:val="28"/>
        <w:spacing w:before="120" w:beforeLines="50" w:after="120" w:afterLines="50" w:line="440" w:lineRule="exact"/>
        <w:jc w:val="center"/>
        <w:rPr>
          <w:rFonts w:ascii="宋体" w:hAnsi="宋体" w:eastAsia="宋体"/>
          <w:sz w:val="24"/>
        </w:rPr>
      </w:pPr>
      <w:r>
        <w:rPr>
          <w:rFonts w:hint="eastAsia" w:ascii="宋体" w:hAnsi="宋体" w:eastAsia="宋体"/>
          <w:sz w:val="24"/>
        </w:rPr>
        <w:t>承包人主要施工管理人员表</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2"/>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tcBorders>
              <w:top w:val="single" w:color="auto" w:sz="12" w:space="0"/>
              <w:left w:val="single" w:color="auto" w:sz="12" w:space="0"/>
              <w:bottom w:val="double" w:color="auto" w:sz="6" w:space="0"/>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名</w:t>
            </w:r>
            <w:r>
              <w:rPr>
                <w:rFonts w:ascii="宋体" w:hAnsi="宋体" w:eastAsia="宋体"/>
                <w:sz w:val="24"/>
              </w:rPr>
              <w:t xml:space="preserve">    </w:t>
            </w:r>
            <w:r>
              <w:rPr>
                <w:rFonts w:hint="eastAsia" w:ascii="宋体" w:hAnsi="宋体" w:eastAsia="宋体"/>
                <w:sz w:val="24"/>
              </w:rPr>
              <w:t>称</w:t>
            </w:r>
          </w:p>
        </w:tc>
        <w:tc>
          <w:tcPr>
            <w:tcW w:w="1418" w:type="dxa"/>
            <w:tcBorders>
              <w:top w:val="single" w:color="auto" w:sz="12" w:space="0"/>
              <w:left w:val="single" w:color="auto" w:sz="6" w:space="0"/>
              <w:bottom w:val="double" w:color="auto" w:sz="6" w:space="0"/>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10" w:type="dxa"/>
            <w:gridSpan w:val="5"/>
            <w:tcBorders>
              <w:top w:val="double" w:color="auto" w:sz="6" w:space="0"/>
              <w:left w:val="single" w:color="auto" w:sz="12"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tcBorders>
              <w:top w:val="nil"/>
              <w:left w:val="single" w:color="auto" w:sz="12" w:space="0"/>
              <w:bottom w:val="nil"/>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项目主管</w:t>
            </w:r>
          </w:p>
        </w:tc>
        <w:tc>
          <w:tcPr>
            <w:tcW w:w="1418" w:type="dxa"/>
            <w:tcBorders>
              <w:top w:val="nil"/>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nil"/>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nil"/>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nil"/>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tcBorders>
              <w:top w:val="single" w:color="auto" w:sz="6" w:space="0"/>
              <w:left w:val="single" w:color="auto" w:sz="12" w:space="0"/>
              <w:bottom w:val="nil"/>
              <w:right w:val="single" w:color="auto" w:sz="6" w:space="0"/>
            </w:tcBorders>
            <w:vAlign w:val="center"/>
          </w:tcPr>
          <w:p>
            <w:pPr>
              <w:pStyle w:val="28"/>
              <w:keepNext/>
              <w:spacing w:line="440" w:lineRule="exact"/>
              <w:ind w:left="63" w:right="63"/>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tcBorders>
              <w:top w:val="nil"/>
              <w:left w:val="single" w:color="auto" w:sz="12" w:space="0"/>
              <w:bottom w:val="nil"/>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tcBorders>
              <w:top w:val="nil"/>
              <w:left w:val="single" w:color="auto" w:sz="12" w:space="0"/>
              <w:bottom w:val="nil"/>
              <w:right w:val="single" w:color="auto" w:sz="6" w:space="0"/>
            </w:tcBorders>
            <w:vAlign w:val="center"/>
          </w:tcPr>
          <w:p>
            <w:pPr>
              <w:pStyle w:val="28"/>
              <w:keepNext/>
              <w:spacing w:line="440" w:lineRule="exact"/>
              <w:ind w:left="63" w:right="63"/>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10" w:type="dxa"/>
            <w:gridSpan w:val="5"/>
            <w:tcBorders>
              <w:top w:val="single" w:color="auto" w:sz="6" w:space="0"/>
              <w:left w:val="single" w:color="auto" w:sz="12"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tcBorders>
              <w:top w:val="single" w:color="auto" w:sz="6" w:space="0"/>
              <w:left w:val="single" w:color="auto" w:sz="12"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tcBorders>
              <w:top w:val="single" w:color="auto" w:sz="6" w:space="0"/>
              <w:left w:val="single" w:color="auto" w:sz="12"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tcBorders>
              <w:top w:val="single" w:color="auto" w:sz="6" w:space="0"/>
              <w:left w:val="single" w:color="auto" w:sz="12"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tcBorders>
              <w:top w:val="single" w:color="auto" w:sz="6" w:space="0"/>
              <w:left w:val="single" w:color="auto" w:sz="12"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tcBorders>
              <w:top w:val="single" w:color="auto" w:sz="6" w:space="0"/>
              <w:left w:val="single" w:color="auto" w:sz="12"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tcBorders>
              <w:top w:val="single" w:color="auto" w:sz="6" w:space="0"/>
              <w:left w:val="single" w:color="auto" w:sz="12"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tcBorders>
              <w:top w:val="single" w:color="auto" w:sz="6" w:space="0"/>
              <w:left w:val="single" w:color="auto" w:sz="12"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tcBorders>
              <w:top w:val="single" w:color="auto" w:sz="6" w:space="0"/>
              <w:left w:val="single" w:color="auto" w:sz="12"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vMerge w:val="restart"/>
            <w:tcBorders>
              <w:top w:val="single" w:color="auto" w:sz="6" w:space="0"/>
              <w:left w:val="single" w:color="auto" w:sz="12" w:space="0"/>
              <w:bottom w:val="single" w:color="auto" w:sz="12" w:space="0"/>
              <w:right w:val="single" w:color="auto" w:sz="6" w:space="0"/>
            </w:tcBorders>
            <w:vAlign w:val="center"/>
          </w:tcPr>
          <w:p>
            <w:pPr>
              <w:pStyle w:val="28"/>
              <w:keepNext/>
              <w:spacing w:line="440" w:lineRule="exact"/>
              <w:ind w:left="63" w:right="63"/>
              <w:rPr>
                <w:rFonts w:ascii="宋体" w:hAnsi="宋体" w:eastAsia="宋体"/>
                <w:sz w:val="24"/>
              </w:rPr>
            </w:pPr>
            <w:r>
              <w:rPr>
                <w:rFonts w:hint="eastAsia" w:ascii="宋体" w:hAnsi="宋体" w:eastAsia="宋体"/>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vMerge w:val="continue"/>
            <w:tcBorders>
              <w:top w:val="single" w:color="auto" w:sz="6" w:space="0"/>
              <w:left w:val="single" w:color="auto" w:sz="12" w:space="0"/>
              <w:bottom w:val="single" w:color="auto" w:sz="12" w:space="0"/>
              <w:right w:val="single" w:color="auto" w:sz="6" w:space="0"/>
            </w:tcBorders>
            <w:vAlign w:val="center"/>
          </w:tcPr>
          <w:p>
            <w:pPr>
              <w:pStyle w:val="28"/>
              <w:widowControl/>
              <w:jc w:val="left"/>
              <w:rPr>
                <w:rFonts w:ascii="宋体" w:hAnsi="宋体" w:eastAsia="宋体"/>
                <w:sz w:val="24"/>
              </w:rPr>
            </w:pPr>
          </w:p>
        </w:tc>
        <w:tc>
          <w:tcPr>
            <w:tcW w:w="1418" w:type="dxa"/>
            <w:tcBorders>
              <w:top w:val="single" w:color="auto" w:sz="6" w:space="0"/>
              <w:left w:val="single" w:color="auto" w:sz="6" w:space="0"/>
              <w:bottom w:val="nil"/>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nil"/>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nil"/>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nil"/>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vMerge w:val="continue"/>
            <w:tcBorders>
              <w:top w:val="single" w:color="auto" w:sz="6" w:space="0"/>
              <w:left w:val="single" w:color="auto" w:sz="12" w:space="0"/>
              <w:bottom w:val="single" w:color="auto" w:sz="12" w:space="0"/>
              <w:right w:val="single" w:color="auto" w:sz="6" w:space="0"/>
            </w:tcBorders>
            <w:vAlign w:val="center"/>
          </w:tcPr>
          <w:p>
            <w:pPr>
              <w:pStyle w:val="28"/>
              <w:widowControl/>
              <w:jc w:val="left"/>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vMerge w:val="continue"/>
            <w:tcBorders>
              <w:top w:val="single" w:color="auto" w:sz="6" w:space="0"/>
              <w:left w:val="single" w:color="auto" w:sz="12" w:space="0"/>
              <w:bottom w:val="single" w:color="auto" w:sz="12" w:space="0"/>
              <w:right w:val="single" w:color="auto" w:sz="6" w:space="0"/>
            </w:tcBorders>
            <w:vAlign w:val="center"/>
          </w:tcPr>
          <w:p>
            <w:pPr>
              <w:pStyle w:val="28"/>
              <w:widowControl/>
              <w:jc w:val="left"/>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vMerge w:val="continue"/>
            <w:tcBorders>
              <w:top w:val="single" w:color="auto" w:sz="6" w:space="0"/>
              <w:left w:val="single" w:color="auto" w:sz="12" w:space="0"/>
              <w:bottom w:val="single" w:color="auto" w:sz="12" w:space="0"/>
              <w:right w:val="single" w:color="auto" w:sz="6" w:space="0"/>
            </w:tcBorders>
            <w:vAlign w:val="center"/>
          </w:tcPr>
          <w:p>
            <w:pPr>
              <w:pStyle w:val="28"/>
              <w:widowControl/>
              <w:jc w:val="left"/>
              <w:rPr>
                <w:rFonts w:ascii="宋体" w:hAnsi="宋体" w:eastAsia="宋体"/>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pStyle w:val="28"/>
              <w:keepNext/>
              <w:spacing w:line="440" w:lineRule="exact"/>
              <w:ind w:left="63" w:right="63"/>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2" w:type="dxa"/>
            <w:vMerge w:val="continue"/>
            <w:tcBorders>
              <w:top w:val="single" w:color="auto" w:sz="6" w:space="0"/>
              <w:left w:val="single" w:color="auto" w:sz="12" w:space="0"/>
              <w:bottom w:val="single" w:color="auto" w:sz="12" w:space="0"/>
              <w:right w:val="single" w:color="auto" w:sz="6" w:space="0"/>
            </w:tcBorders>
            <w:vAlign w:val="center"/>
          </w:tcPr>
          <w:p>
            <w:pPr>
              <w:pStyle w:val="28"/>
              <w:widowControl/>
              <w:jc w:val="left"/>
              <w:rPr>
                <w:rFonts w:ascii="宋体" w:hAnsi="宋体" w:eastAsia="宋体"/>
                <w:sz w:val="24"/>
              </w:rPr>
            </w:pPr>
          </w:p>
        </w:tc>
        <w:tc>
          <w:tcPr>
            <w:tcW w:w="1418" w:type="dxa"/>
            <w:tcBorders>
              <w:top w:val="single" w:color="auto" w:sz="6" w:space="0"/>
              <w:left w:val="single" w:color="auto" w:sz="6" w:space="0"/>
              <w:bottom w:val="single" w:color="auto" w:sz="12"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pStyle w:val="28"/>
              <w:keepNext/>
              <w:spacing w:line="440" w:lineRule="exact"/>
              <w:ind w:left="63" w:right="63"/>
              <w:rPr>
                <w:rFonts w:ascii="宋体" w:hAnsi="宋体" w:eastAsia="宋体"/>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pStyle w:val="28"/>
              <w:keepNext/>
              <w:spacing w:line="440" w:lineRule="exact"/>
              <w:ind w:left="63" w:right="63"/>
              <w:rPr>
                <w:rFonts w:ascii="宋体" w:hAnsi="宋体" w:eastAsia="宋体"/>
                <w:sz w:val="24"/>
              </w:rPr>
            </w:pPr>
          </w:p>
        </w:tc>
        <w:tc>
          <w:tcPr>
            <w:tcW w:w="4252" w:type="dxa"/>
            <w:tcBorders>
              <w:top w:val="single" w:color="auto" w:sz="6" w:space="0"/>
              <w:left w:val="single" w:color="auto" w:sz="6" w:space="0"/>
              <w:bottom w:val="single" w:color="auto" w:sz="12" w:space="0"/>
              <w:right w:val="single" w:color="auto" w:sz="12" w:space="0"/>
            </w:tcBorders>
            <w:vAlign w:val="center"/>
          </w:tcPr>
          <w:p>
            <w:pPr>
              <w:pStyle w:val="28"/>
              <w:keepNext/>
              <w:spacing w:line="440" w:lineRule="exact"/>
              <w:ind w:left="63" w:right="63"/>
              <w:rPr>
                <w:rFonts w:ascii="宋体" w:hAnsi="宋体" w:eastAsia="宋体"/>
                <w:sz w:val="24"/>
              </w:rPr>
            </w:pPr>
          </w:p>
        </w:tc>
      </w:tr>
    </w:tbl>
    <w:p>
      <w:pPr>
        <w:pStyle w:val="28"/>
        <w:spacing w:line="440" w:lineRule="exact"/>
        <w:rPr>
          <w:rFonts w:ascii="宋体" w:hAnsi="宋体" w:eastAsia="宋体"/>
          <w:sz w:val="24"/>
        </w:rPr>
      </w:pPr>
      <w:r>
        <w:rPr>
          <w:rFonts w:ascii="宋体" w:hAnsi="宋体" w:eastAsia="宋体"/>
          <w:sz w:val="24"/>
        </w:rPr>
        <w:br w:type="page"/>
      </w:r>
    </w:p>
    <w:p>
      <w:pPr>
        <w:pStyle w:val="28"/>
        <w:spacing w:line="360" w:lineRule="auto"/>
        <w:rPr>
          <w:rFonts w:ascii="宋体" w:hAnsi="宋体" w:eastAsia="宋体"/>
          <w:b/>
          <w:bCs/>
          <w:sz w:val="24"/>
        </w:rPr>
      </w:pPr>
      <w:r>
        <w:rPr>
          <w:rFonts w:hint="eastAsia" w:ascii="宋体" w:hAnsi="宋体" w:eastAsia="宋体"/>
          <w:b/>
          <w:bCs/>
          <w:sz w:val="24"/>
        </w:rPr>
        <w:t>附件</w:t>
      </w:r>
      <w:r>
        <w:rPr>
          <w:rFonts w:ascii="宋体" w:hAnsi="宋体" w:eastAsia="宋体"/>
          <w:b/>
          <w:bCs/>
          <w:sz w:val="24"/>
        </w:rPr>
        <w:t>5：</w:t>
      </w:r>
    </w:p>
    <w:p>
      <w:pPr>
        <w:pStyle w:val="28"/>
        <w:widowControl/>
        <w:spacing w:line="360" w:lineRule="auto"/>
        <w:jc w:val="center"/>
        <w:rPr>
          <w:rFonts w:ascii="宋体" w:hAnsi="宋体" w:eastAsia="宋体"/>
          <w:sz w:val="24"/>
        </w:rPr>
      </w:pPr>
      <w:r>
        <w:rPr>
          <w:rFonts w:hint="eastAsia" w:ascii="宋体" w:hAnsi="宋体" w:eastAsia="宋体"/>
          <w:sz w:val="24"/>
        </w:rPr>
        <w:t>承包人违约金一览表</w:t>
      </w:r>
    </w:p>
    <w:tbl>
      <w:tblPr>
        <w:tblStyle w:val="18"/>
        <w:tblW w:w="0" w:type="auto"/>
        <w:jc w:val="center"/>
        <w:tblLayout w:type="fixed"/>
        <w:tblCellMar>
          <w:top w:w="0" w:type="dxa"/>
          <w:left w:w="0" w:type="dxa"/>
          <w:bottom w:w="0" w:type="dxa"/>
          <w:right w:w="0" w:type="dxa"/>
        </w:tblCellMar>
      </w:tblPr>
      <w:tblGrid>
        <w:gridCol w:w="737"/>
        <w:gridCol w:w="1155"/>
        <w:gridCol w:w="3620"/>
        <w:gridCol w:w="2604"/>
        <w:gridCol w:w="1739"/>
      </w:tblGrid>
      <w:tr>
        <w:tblPrEx>
          <w:tblCellMar>
            <w:top w:w="0" w:type="dxa"/>
            <w:left w:w="0" w:type="dxa"/>
            <w:bottom w:w="0" w:type="dxa"/>
            <w:right w:w="0" w:type="dxa"/>
          </w:tblCellMar>
        </w:tblPrEx>
        <w:trPr>
          <w:trHeight w:val="20" w:hRule="atLeast"/>
          <w:jc w:val="center"/>
        </w:trPr>
        <w:tc>
          <w:tcPr>
            <w:tcW w:w="737" w:type="dxa"/>
            <w:tcBorders>
              <w:top w:val="single" w:color="auto" w:sz="12" w:space="0"/>
              <w:left w:val="single" w:color="auto" w:sz="12" w:space="0"/>
              <w:bottom w:val="single" w:color="000000" w:sz="4" w:space="0"/>
              <w:right w:val="single" w:color="000000" w:sz="4" w:space="0"/>
            </w:tcBorders>
          </w:tcPr>
          <w:p>
            <w:pPr>
              <w:pStyle w:val="28"/>
              <w:widowControl/>
              <w:spacing w:line="360" w:lineRule="auto"/>
              <w:rPr>
                <w:rFonts w:ascii="宋体" w:hAnsi="宋体" w:eastAsia="宋体"/>
                <w:sz w:val="24"/>
              </w:rPr>
            </w:pPr>
            <w:r>
              <w:rPr>
                <w:rFonts w:hint="eastAsia" w:ascii="宋体" w:hAnsi="宋体" w:eastAsia="宋体"/>
                <w:sz w:val="24"/>
              </w:rPr>
              <w:t>序号</w:t>
            </w:r>
          </w:p>
        </w:tc>
        <w:tc>
          <w:tcPr>
            <w:tcW w:w="1155" w:type="dxa"/>
            <w:tcBorders>
              <w:top w:val="single" w:color="auto" w:sz="12" w:space="0"/>
              <w:left w:val="single" w:color="000000" w:sz="4" w:space="0"/>
              <w:bottom w:val="single" w:color="000000" w:sz="4" w:space="0"/>
              <w:right w:val="single" w:color="000000" w:sz="4" w:space="0"/>
            </w:tcBorders>
          </w:tcPr>
          <w:p>
            <w:pPr>
              <w:pStyle w:val="28"/>
              <w:widowControl/>
              <w:spacing w:line="360" w:lineRule="auto"/>
              <w:rPr>
                <w:rFonts w:ascii="宋体" w:hAnsi="宋体" w:eastAsia="宋体"/>
                <w:sz w:val="24"/>
              </w:rPr>
            </w:pPr>
            <w:r>
              <w:rPr>
                <w:rFonts w:hint="eastAsia" w:ascii="宋体" w:hAnsi="宋体" w:eastAsia="宋体"/>
                <w:sz w:val="24"/>
              </w:rPr>
              <w:t>合同依据</w:t>
            </w:r>
          </w:p>
        </w:tc>
        <w:tc>
          <w:tcPr>
            <w:tcW w:w="3620" w:type="dxa"/>
            <w:tcBorders>
              <w:top w:val="single" w:color="auto" w:sz="12" w:space="0"/>
              <w:left w:val="single" w:color="000000" w:sz="4" w:space="0"/>
              <w:bottom w:val="single" w:color="000000" w:sz="4" w:space="0"/>
              <w:right w:val="single" w:color="000000" w:sz="4" w:space="0"/>
            </w:tcBorders>
          </w:tcPr>
          <w:p>
            <w:pPr>
              <w:pStyle w:val="28"/>
              <w:widowControl/>
              <w:spacing w:line="360" w:lineRule="auto"/>
              <w:rPr>
                <w:rFonts w:ascii="宋体" w:hAnsi="宋体" w:eastAsia="宋体"/>
                <w:sz w:val="24"/>
              </w:rPr>
            </w:pPr>
            <w:r>
              <w:rPr>
                <w:rFonts w:hint="eastAsia" w:ascii="宋体" w:hAnsi="宋体" w:eastAsia="宋体"/>
                <w:sz w:val="24"/>
              </w:rPr>
              <w:t>违约内容</w:t>
            </w:r>
          </w:p>
        </w:tc>
        <w:tc>
          <w:tcPr>
            <w:tcW w:w="2604" w:type="dxa"/>
            <w:tcBorders>
              <w:top w:val="single" w:color="auto" w:sz="12" w:space="0"/>
              <w:left w:val="single" w:color="000000" w:sz="4" w:space="0"/>
              <w:bottom w:val="single" w:color="000000" w:sz="4" w:space="0"/>
              <w:right w:val="single" w:color="000000" w:sz="4" w:space="0"/>
            </w:tcBorders>
          </w:tcPr>
          <w:p>
            <w:pPr>
              <w:pStyle w:val="28"/>
              <w:widowControl/>
              <w:spacing w:line="360" w:lineRule="auto"/>
              <w:rPr>
                <w:rFonts w:ascii="宋体" w:hAnsi="宋体" w:eastAsia="宋体"/>
                <w:sz w:val="24"/>
              </w:rPr>
            </w:pPr>
            <w:r>
              <w:rPr>
                <w:rFonts w:hint="eastAsia" w:ascii="宋体" w:hAnsi="宋体" w:eastAsia="宋体"/>
                <w:sz w:val="24"/>
              </w:rPr>
              <w:t>违约金标准</w:t>
            </w:r>
          </w:p>
        </w:tc>
        <w:tc>
          <w:tcPr>
            <w:tcW w:w="1739" w:type="dxa"/>
            <w:tcBorders>
              <w:top w:val="single" w:color="auto" w:sz="12" w:space="0"/>
              <w:left w:val="single" w:color="000000" w:sz="4" w:space="0"/>
              <w:bottom w:val="single" w:color="000000" w:sz="4" w:space="0"/>
              <w:right w:val="single" w:color="auto" w:sz="12" w:space="0"/>
            </w:tcBorders>
          </w:tcPr>
          <w:p>
            <w:pPr>
              <w:pStyle w:val="28"/>
              <w:widowControl/>
              <w:spacing w:line="360" w:lineRule="auto"/>
              <w:rPr>
                <w:rFonts w:ascii="宋体" w:hAnsi="宋体" w:eastAsia="宋体"/>
                <w:sz w:val="24"/>
              </w:rPr>
            </w:pPr>
            <w:r>
              <w:rPr>
                <w:rFonts w:hint="eastAsia" w:ascii="宋体" w:hAnsi="宋体" w:eastAsia="宋体"/>
                <w:sz w:val="24"/>
              </w:rPr>
              <w:t>备注</w:t>
            </w: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1.6.</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未得到监理人批准，承包人擅自对施工图的任何部分进行修改</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ascii="宋体" w:hAnsi="宋体" w:eastAsia="宋体"/>
                <w:sz w:val="24"/>
              </w:rPr>
              <w:t>0.5万元/次</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2</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3.5</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违规分包或转包</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ascii="宋体" w:hAnsi="宋体" w:eastAsia="宋体"/>
                <w:sz w:val="24"/>
              </w:rPr>
              <w:t>2万元/次</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3.3</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承包人在接到监理人要求人员进场的通知</w:t>
            </w:r>
            <w:r>
              <w:rPr>
                <w:rFonts w:ascii="宋体" w:hAnsi="宋体" w:eastAsia="宋体"/>
                <w:sz w:val="24"/>
              </w:rPr>
              <w:t>5天后仍未安排相关人员进场，从第6天算起扣除承包人的违约金</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项目负责人（项目经理）、项目技术负责人（项目总工）</w:t>
            </w:r>
            <w:r>
              <w:rPr>
                <w:rFonts w:ascii="宋体" w:hAnsi="宋体" w:eastAsia="宋体"/>
                <w:sz w:val="24"/>
              </w:rPr>
              <w:t xml:space="preserve"> 1万元/人日；其他主要技术人员 0.5万元/人日</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4</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承包人的档案资料整理负责人在本工程连续工作不足</w:t>
            </w:r>
            <w:r>
              <w:rPr>
                <w:rFonts w:ascii="宋体" w:hAnsi="宋体" w:eastAsia="宋体"/>
                <w:sz w:val="24"/>
              </w:rPr>
              <w:t>1年</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ascii="宋体" w:hAnsi="宋体" w:eastAsia="宋体"/>
                <w:sz w:val="24"/>
              </w:rPr>
              <w:t xml:space="preserve">1000 </w:t>
            </w:r>
            <w:r>
              <w:rPr>
                <w:rFonts w:hint="eastAsia" w:ascii="宋体" w:hAnsi="宋体" w:eastAsia="宋体"/>
                <w:sz w:val="24"/>
              </w:rPr>
              <w:t>元</w:t>
            </w:r>
            <w:r>
              <w:rPr>
                <w:rFonts w:ascii="宋体" w:hAnsi="宋体" w:eastAsia="宋体"/>
                <w:sz w:val="24"/>
              </w:rPr>
              <w:t>/人次</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5</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3.2</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项目负责人（项目经理）、技术负责人程师驻守现场不足</w:t>
            </w:r>
            <w:r>
              <w:rPr>
                <w:rFonts w:ascii="宋体" w:hAnsi="宋体" w:eastAsia="宋体"/>
                <w:sz w:val="24"/>
              </w:rPr>
              <w:t>22天/月，处以不足天数的罚款</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ascii="宋体" w:hAnsi="宋体" w:eastAsia="宋体"/>
                <w:sz w:val="24"/>
              </w:rPr>
              <w:t xml:space="preserve">10000 </w:t>
            </w:r>
            <w:r>
              <w:rPr>
                <w:rFonts w:hint="eastAsia" w:ascii="宋体" w:hAnsi="宋体" w:eastAsia="宋体"/>
                <w:sz w:val="24"/>
              </w:rPr>
              <w:t>元</w:t>
            </w:r>
            <w:r>
              <w:rPr>
                <w:rFonts w:ascii="宋体" w:hAnsi="宋体" w:eastAsia="宋体"/>
                <w:sz w:val="24"/>
              </w:rPr>
              <w:t>/天</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6</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3.2</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专职安全生产管理人员没有按每施工合同额配备</w:t>
            </w:r>
            <w:r>
              <w:rPr>
                <w:rFonts w:ascii="宋体" w:hAnsi="宋体" w:eastAsia="宋体"/>
                <w:sz w:val="24"/>
              </w:rPr>
              <w:t>1名</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ascii="宋体" w:hAnsi="宋体" w:eastAsia="宋体"/>
                <w:sz w:val="24"/>
              </w:rPr>
              <w:t>5000元/人次</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7</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3.2</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项目负责人（项目经理）或技术负责人程师无故缺席发包人指定的各种会议，包括监理人主持的重要会议（如工地例会等）</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ascii="宋体" w:hAnsi="宋体" w:eastAsia="宋体"/>
                <w:sz w:val="24"/>
              </w:rPr>
              <w:t>0.5万元/次</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8</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3.2.1</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spacing w:line="440" w:lineRule="exact"/>
              <w:rPr>
                <w:rFonts w:ascii="宋体" w:hAnsi="宋体" w:eastAsia="宋体"/>
                <w:sz w:val="24"/>
              </w:rPr>
            </w:pPr>
            <w:r>
              <w:rPr>
                <w:rFonts w:hint="eastAsia" w:ascii="宋体" w:hAnsi="宋体" w:eastAsia="宋体"/>
                <w:sz w:val="24"/>
              </w:rPr>
              <w:t>对于不胜任工作的承包人人员，当监理工程师要求更换时，承包人必须立即予以更换，并不得再在本合同工程供职。</w:t>
            </w:r>
            <w:r>
              <w:rPr>
                <w:rFonts w:hint="eastAsia" w:ascii="宋体" w:hAnsi="宋体" w:eastAsia="宋体"/>
                <w:sz w:val="24"/>
                <w:u w:val="single"/>
              </w:rPr>
              <w:t>若承包人没能及时更换的，</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u w:val="single"/>
              </w:rPr>
              <w:t>发包人有权扣除承包人</w:t>
            </w:r>
            <w:r>
              <w:rPr>
                <w:rFonts w:ascii="宋体" w:hAnsi="宋体" w:eastAsia="宋体"/>
                <w:kern w:val="0"/>
                <w:sz w:val="24"/>
                <w:u w:val="single"/>
              </w:rPr>
              <w:t>10000元人民币/天的违约金，</w:t>
            </w:r>
            <w:r>
              <w:rPr>
                <w:rFonts w:hint="eastAsia" w:ascii="宋体" w:hAnsi="宋体" w:eastAsia="宋体"/>
                <w:sz w:val="24"/>
                <w:u w:val="single"/>
              </w:rPr>
              <w:t>直至缺员进场为止</w:t>
            </w:r>
            <w:r>
              <w:rPr>
                <w:rFonts w:hint="eastAsia" w:ascii="宋体" w:hAnsi="宋体" w:eastAsia="宋体"/>
                <w:sz w:val="24"/>
              </w:rPr>
              <w:t>。</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9</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3.2.1</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spacing w:line="440" w:lineRule="exact"/>
              <w:rPr>
                <w:rFonts w:ascii="宋体" w:hAnsi="宋体" w:eastAsia="宋体"/>
                <w:sz w:val="24"/>
              </w:rPr>
            </w:pPr>
            <w:r>
              <w:rPr>
                <w:rFonts w:hint="eastAsia" w:ascii="宋体" w:hAnsi="宋体" w:eastAsia="宋体"/>
                <w:kern w:val="0"/>
                <w:sz w:val="24"/>
              </w:rPr>
              <w:t>承包人无正当理由拒绝更换项目经理的违约责任</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u w:val="single"/>
              </w:rPr>
            </w:pPr>
            <w:r>
              <w:rPr>
                <w:rFonts w:hint="eastAsia" w:ascii="宋体" w:hAnsi="宋体" w:eastAsia="宋体"/>
                <w:sz w:val="24"/>
                <w:u w:val="single"/>
              </w:rPr>
              <w:t>视为承包人违约，发包人有权终止施工合同，</w:t>
            </w:r>
            <w:r>
              <w:rPr>
                <w:rFonts w:hint="eastAsia" w:ascii="宋体" w:hAnsi="宋体" w:eastAsia="宋体"/>
                <w:kern w:val="0"/>
                <w:sz w:val="24"/>
                <w:u w:val="single"/>
              </w:rPr>
              <w:t>并有权在合同款中扣除承包人</w:t>
            </w:r>
            <w:r>
              <w:rPr>
                <w:rFonts w:ascii="宋体" w:hAnsi="宋体" w:eastAsia="宋体"/>
                <w:kern w:val="0"/>
                <w:sz w:val="24"/>
                <w:u w:val="single"/>
              </w:rPr>
              <w:t>10万元人民币违约金</w:t>
            </w:r>
            <w:r>
              <w:rPr>
                <w:rFonts w:hint="eastAsia" w:ascii="宋体" w:hAnsi="宋体" w:eastAsia="宋体"/>
                <w:kern w:val="0"/>
                <w:sz w:val="24"/>
              </w:rPr>
              <w:t>。</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10</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3.2.1</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440" w:lineRule="exact"/>
              <w:rPr>
                <w:rFonts w:ascii="宋体" w:hAnsi="宋体" w:eastAsia="宋体"/>
                <w:kern w:val="0"/>
                <w:sz w:val="24"/>
              </w:rPr>
            </w:pPr>
            <w:r>
              <w:rPr>
                <w:rFonts w:hint="eastAsia" w:ascii="宋体" w:hAnsi="宋体" w:eastAsia="宋体"/>
                <w:kern w:val="0"/>
                <w:sz w:val="24"/>
              </w:rPr>
              <w:t>承包人擅自更换项目经理的违约责任</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kern w:val="0"/>
                <w:sz w:val="24"/>
              </w:rPr>
            </w:pPr>
            <w:r>
              <w:rPr>
                <w:rFonts w:hint="eastAsia" w:ascii="宋体" w:hAnsi="宋体" w:eastAsia="宋体"/>
                <w:sz w:val="24"/>
                <w:u w:val="single"/>
              </w:rPr>
              <w:t>视为承包人违约，发包人有权终止施工合同，</w:t>
            </w:r>
            <w:r>
              <w:rPr>
                <w:rFonts w:hint="eastAsia" w:ascii="宋体" w:hAnsi="宋体" w:eastAsia="宋体"/>
                <w:kern w:val="0"/>
                <w:sz w:val="24"/>
                <w:u w:val="single"/>
              </w:rPr>
              <w:t>并有权在合同款中扣除承包人</w:t>
            </w:r>
            <w:r>
              <w:rPr>
                <w:rFonts w:ascii="宋体" w:hAnsi="宋体" w:eastAsia="宋体"/>
                <w:kern w:val="0"/>
                <w:sz w:val="24"/>
                <w:u w:val="single"/>
              </w:rPr>
              <w:t>5万元人民币违约金</w:t>
            </w:r>
            <w:r>
              <w:rPr>
                <w:rFonts w:hint="eastAsia" w:ascii="宋体" w:hAnsi="宋体" w:eastAsia="宋体"/>
                <w:kern w:val="0"/>
                <w:sz w:val="24"/>
              </w:rPr>
              <w:t>。</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11</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3.1</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spacing w:line="400" w:lineRule="exact"/>
              <w:jc w:val="left"/>
              <w:rPr>
                <w:rFonts w:ascii="宋体" w:hAnsi="宋体" w:eastAsia="宋体"/>
                <w:b/>
                <w:bCs/>
                <w:sz w:val="24"/>
              </w:rPr>
            </w:pPr>
            <w:r>
              <w:rPr>
                <w:rFonts w:hint="eastAsia" w:ascii="宋体" w:hAnsi="宋体" w:eastAsia="宋体"/>
                <w:b/>
                <w:bCs/>
                <w:sz w:val="24"/>
              </w:rPr>
              <w:t>如本工程受到相关主管部门罚款或通报或受到整改通知，</w:t>
            </w:r>
          </w:p>
          <w:p>
            <w:pPr>
              <w:pStyle w:val="28"/>
              <w:widowControl/>
              <w:spacing w:line="440" w:lineRule="exact"/>
              <w:rPr>
                <w:rFonts w:ascii="宋体" w:hAnsi="宋体" w:eastAsia="宋体"/>
                <w:kern w:val="0"/>
                <w:sz w:val="24"/>
              </w:rPr>
            </w:pP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u w:val="single"/>
              </w:rPr>
            </w:pPr>
            <w:r>
              <w:rPr>
                <w:rFonts w:hint="eastAsia" w:ascii="宋体" w:hAnsi="宋体" w:eastAsia="宋体"/>
                <w:b/>
                <w:bCs/>
                <w:sz w:val="24"/>
              </w:rPr>
              <w:t>发包人有权视情节轻重处以承包人每次人民币</w:t>
            </w:r>
            <w:r>
              <w:rPr>
                <w:rFonts w:ascii="宋体" w:hAnsi="宋体" w:eastAsia="宋体"/>
                <w:b/>
                <w:bCs/>
                <w:sz w:val="24"/>
              </w:rPr>
              <w:t>5000元~10000元的违约金。</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12</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不签订劳动合同、非法使用农民工的，或者拖延和克扣农民工工资的，由此造成劳务人员上访或劳动纠纷的</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ascii="宋体" w:hAnsi="宋体" w:eastAsia="宋体"/>
                <w:sz w:val="24"/>
              </w:rPr>
              <w:t>1万元/次</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13</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分项工程的施工员没在现场管理的</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ascii="宋体" w:hAnsi="宋体" w:eastAsia="宋体"/>
                <w:sz w:val="24"/>
              </w:rPr>
              <w:t xml:space="preserve">5000 </w:t>
            </w:r>
            <w:r>
              <w:rPr>
                <w:rFonts w:hint="eastAsia" w:ascii="宋体" w:hAnsi="宋体" w:eastAsia="宋体"/>
                <w:sz w:val="24"/>
              </w:rPr>
              <w:t>元</w:t>
            </w:r>
            <w:r>
              <w:rPr>
                <w:rFonts w:ascii="宋体" w:hAnsi="宋体" w:eastAsia="宋体"/>
                <w:sz w:val="24"/>
              </w:rPr>
              <w:t>/次</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14</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重要工序（桩基、面层施工等），没有施工员在现场管理的</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ascii="宋体" w:hAnsi="宋体" w:eastAsia="宋体"/>
                <w:sz w:val="24"/>
              </w:rPr>
              <w:t xml:space="preserve">2000 </w:t>
            </w:r>
            <w:r>
              <w:rPr>
                <w:rFonts w:hint="eastAsia" w:ascii="宋体" w:hAnsi="宋体" w:eastAsia="宋体"/>
                <w:sz w:val="24"/>
              </w:rPr>
              <w:t>元</w:t>
            </w:r>
            <w:r>
              <w:rPr>
                <w:rFonts w:ascii="宋体" w:hAnsi="宋体" w:eastAsia="宋体"/>
                <w:sz w:val="24"/>
              </w:rPr>
              <w:t>/次</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15</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超过</w:t>
            </w:r>
            <w:r>
              <w:rPr>
                <w:rFonts w:ascii="宋体" w:hAnsi="宋体" w:eastAsia="宋体"/>
                <w:sz w:val="24"/>
              </w:rPr>
              <w:t xml:space="preserve"> 24 </w:t>
            </w:r>
            <w:r>
              <w:rPr>
                <w:rFonts w:hint="eastAsia" w:ascii="宋体" w:hAnsi="宋体" w:eastAsia="宋体"/>
                <w:sz w:val="24"/>
              </w:rPr>
              <w:t>小时没有施工员在场而继续施工的</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ascii="宋体" w:hAnsi="宋体" w:eastAsia="宋体"/>
                <w:sz w:val="24"/>
              </w:rPr>
              <w:t xml:space="preserve">5000 </w:t>
            </w:r>
            <w:r>
              <w:rPr>
                <w:rFonts w:hint="eastAsia" w:ascii="宋体" w:hAnsi="宋体" w:eastAsia="宋体"/>
                <w:sz w:val="24"/>
              </w:rPr>
              <w:t>元</w:t>
            </w:r>
            <w:r>
              <w:rPr>
                <w:rFonts w:ascii="宋体" w:hAnsi="宋体" w:eastAsia="宋体"/>
                <w:sz w:val="24"/>
              </w:rPr>
              <w:t>/次</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16</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未经监理人同意，承包人将专用于本工程的材料、工程设备、施工设备和临时设施运出施工场地或挪作他用。</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ascii="宋体" w:hAnsi="宋体" w:eastAsia="宋体"/>
                <w:sz w:val="24"/>
              </w:rPr>
              <w:t xml:space="preserve">1 </w:t>
            </w:r>
            <w:r>
              <w:rPr>
                <w:rFonts w:hint="eastAsia" w:ascii="宋体" w:hAnsi="宋体" w:eastAsia="宋体"/>
                <w:sz w:val="24"/>
              </w:rPr>
              <w:t>万元</w:t>
            </w:r>
            <w:r>
              <w:rPr>
                <w:rFonts w:ascii="宋体" w:hAnsi="宋体" w:eastAsia="宋体"/>
                <w:sz w:val="24"/>
              </w:rPr>
              <w:t xml:space="preserve">/台，同时处以1000 </w:t>
            </w:r>
            <w:r>
              <w:rPr>
                <w:rFonts w:hint="eastAsia" w:ascii="宋体" w:hAnsi="宋体" w:eastAsia="宋体"/>
                <w:sz w:val="24"/>
              </w:rPr>
              <w:t>元</w:t>
            </w:r>
            <w:r>
              <w:rPr>
                <w:rFonts w:ascii="宋体" w:hAnsi="宋体" w:eastAsia="宋体"/>
                <w:sz w:val="24"/>
              </w:rPr>
              <w:t>/天的罚款直至承包人纠正为止。</w:t>
            </w:r>
          </w:p>
        </w:tc>
        <w:tc>
          <w:tcPr>
            <w:tcW w:w="1739" w:type="dxa"/>
            <w:tcBorders>
              <w:top w:val="single" w:color="000000" w:sz="4" w:space="0"/>
              <w:left w:val="single" w:color="000000" w:sz="4" w:space="0"/>
              <w:bottom w:val="single" w:color="000000" w:sz="4" w:space="0"/>
              <w:right w:val="single" w:color="auto" w:sz="12" w:space="0"/>
            </w:tcBorders>
            <w:vAlign w:val="center"/>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17</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按施工进度计划须到位而未到位的主要设备，或擅自改变主要设备型号。</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ascii="宋体" w:hAnsi="宋体" w:eastAsia="宋体"/>
                <w:sz w:val="24"/>
              </w:rPr>
              <w:t xml:space="preserve">1 </w:t>
            </w:r>
            <w:r>
              <w:rPr>
                <w:rFonts w:hint="eastAsia" w:ascii="宋体" w:hAnsi="宋体" w:eastAsia="宋体"/>
                <w:sz w:val="24"/>
              </w:rPr>
              <w:t>万元</w:t>
            </w:r>
            <w:r>
              <w:rPr>
                <w:rFonts w:ascii="宋体" w:hAnsi="宋体" w:eastAsia="宋体"/>
                <w:sz w:val="24"/>
              </w:rPr>
              <w:t xml:space="preserve">/台，同时处以1000 </w:t>
            </w:r>
            <w:r>
              <w:rPr>
                <w:rFonts w:hint="eastAsia" w:ascii="宋体" w:hAnsi="宋体" w:eastAsia="宋体"/>
                <w:sz w:val="24"/>
              </w:rPr>
              <w:t>元</w:t>
            </w:r>
            <w:r>
              <w:rPr>
                <w:rFonts w:ascii="宋体" w:hAnsi="宋体" w:eastAsia="宋体"/>
                <w:sz w:val="24"/>
              </w:rPr>
              <w:t>/天的罚款直至承包人纠正为止。</w:t>
            </w:r>
          </w:p>
        </w:tc>
        <w:tc>
          <w:tcPr>
            <w:tcW w:w="1739" w:type="dxa"/>
            <w:tcBorders>
              <w:top w:val="single" w:color="000000" w:sz="4" w:space="0"/>
              <w:left w:val="single" w:color="000000" w:sz="4" w:space="0"/>
              <w:bottom w:val="single" w:color="000000" w:sz="4" w:space="0"/>
              <w:right w:val="single" w:color="auto" w:sz="12" w:space="0"/>
            </w:tcBorders>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18</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承包人未按监理人要求增加或更换施工设备</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ascii="宋体" w:hAnsi="宋体" w:eastAsia="宋体"/>
                <w:sz w:val="24"/>
              </w:rPr>
              <w:t xml:space="preserve">1 </w:t>
            </w:r>
            <w:r>
              <w:rPr>
                <w:rFonts w:hint="eastAsia" w:ascii="宋体" w:hAnsi="宋体" w:eastAsia="宋体"/>
                <w:sz w:val="24"/>
              </w:rPr>
              <w:t>万元</w:t>
            </w:r>
            <w:r>
              <w:rPr>
                <w:rFonts w:ascii="宋体" w:hAnsi="宋体" w:eastAsia="宋体"/>
                <w:sz w:val="24"/>
              </w:rPr>
              <w:t xml:space="preserve">/台，同时处以1000 </w:t>
            </w:r>
            <w:r>
              <w:rPr>
                <w:rFonts w:hint="eastAsia" w:ascii="宋体" w:hAnsi="宋体" w:eastAsia="宋体"/>
                <w:sz w:val="24"/>
              </w:rPr>
              <w:t>元</w:t>
            </w:r>
            <w:r>
              <w:rPr>
                <w:rFonts w:ascii="宋体" w:hAnsi="宋体" w:eastAsia="宋体"/>
                <w:sz w:val="24"/>
              </w:rPr>
              <w:t>/天的罚款直至承包人纠正为止。</w:t>
            </w:r>
          </w:p>
        </w:tc>
        <w:tc>
          <w:tcPr>
            <w:tcW w:w="1739" w:type="dxa"/>
            <w:tcBorders>
              <w:top w:val="single" w:color="000000" w:sz="4" w:space="0"/>
              <w:left w:val="single" w:color="000000" w:sz="4" w:space="0"/>
              <w:bottom w:val="single" w:color="000000" w:sz="4" w:space="0"/>
              <w:right w:val="single" w:color="auto" w:sz="12" w:space="0"/>
            </w:tcBorders>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19</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违反《佛山市扬尘污染防治条例》、《佛山市机动车和非道路移动机械排气污染防治条例》相关规定</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处以</w:t>
            </w:r>
            <w:r>
              <w:rPr>
                <w:rFonts w:ascii="宋体" w:hAnsi="宋体" w:eastAsia="宋体"/>
                <w:sz w:val="24"/>
              </w:rPr>
              <w:t>1万～10万的违约金</w:t>
            </w:r>
          </w:p>
        </w:tc>
        <w:tc>
          <w:tcPr>
            <w:tcW w:w="1739" w:type="dxa"/>
            <w:tcBorders>
              <w:top w:val="single" w:color="000000" w:sz="4" w:space="0"/>
              <w:left w:val="single" w:color="000000" w:sz="4" w:space="0"/>
              <w:bottom w:val="single" w:color="000000" w:sz="4" w:space="0"/>
              <w:right w:val="single" w:color="auto" w:sz="12" w:space="0"/>
            </w:tcBorders>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20</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7.5</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承包人未按期开工</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参照工期延误的标准扣除违约金</w:t>
            </w:r>
          </w:p>
        </w:tc>
        <w:tc>
          <w:tcPr>
            <w:tcW w:w="1739" w:type="dxa"/>
            <w:tcBorders>
              <w:top w:val="single" w:color="000000" w:sz="4" w:space="0"/>
              <w:left w:val="single" w:color="000000" w:sz="4" w:space="0"/>
              <w:bottom w:val="single" w:color="000000" w:sz="4" w:space="0"/>
              <w:right w:val="single" w:color="auto" w:sz="12" w:space="0"/>
            </w:tcBorders>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21</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7.5</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承包人的工期延误</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按照项目专用条款数据表第</w:t>
            </w:r>
            <w:r>
              <w:rPr>
                <w:rFonts w:ascii="宋体" w:hAnsi="宋体" w:eastAsia="宋体"/>
                <w:sz w:val="24"/>
              </w:rPr>
              <w:t xml:space="preserve"> 7.5 </w:t>
            </w:r>
            <w:r>
              <w:rPr>
                <w:rFonts w:hint="eastAsia" w:ascii="宋体" w:hAnsi="宋体" w:eastAsia="宋体"/>
                <w:sz w:val="24"/>
              </w:rPr>
              <w:t>款规</w:t>
            </w:r>
            <w:r>
              <w:rPr>
                <w:rFonts w:ascii="宋体" w:hAnsi="宋体" w:eastAsia="宋体"/>
                <w:sz w:val="24"/>
              </w:rPr>
              <w:t xml:space="preserve"> </w:t>
            </w:r>
            <w:r>
              <w:rPr>
                <w:rFonts w:hint="eastAsia" w:ascii="宋体" w:hAnsi="宋体" w:eastAsia="宋体"/>
                <w:sz w:val="24"/>
              </w:rPr>
              <w:t>定的标准扣除</w:t>
            </w:r>
          </w:p>
        </w:tc>
        <w:tc>
          <w:tcPr>
            <w:tcW w:w="1739" w:type="dxa"/>
            <w:tcBorders>
              <w:top w:val="single" w:color="000000" w:sz="4" w:space="0"/>
              <w:left w:val="single" w:color="000000" w:sz="4" w:space="0"/>
              <w:bottom w:val="single" w:color="000000" w:sz="4" w:space="0"/>
              <w:right w:val="single" w:color="auto" w:sz="12" w:space="0"/>
            </w:tcBorders>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22</w:t>
            </w:r>
          </w:p>
        </w:tc>
        <w:tc>
          <w:tcPr>
            <w:tcW w:w="1155"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15</w:t>
            </w:r>
          </w:p>
        </w:tc>
        <w:tc>
          <w:tcPr>
            <w:tcW w:w="3620"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承包人未设立缺陷责任期内的留守项目部</w:t>
            </w:r>
          </w:p>
        </w:tc>
        <w:tc>
          <w:tcPr>
            <w:tcW w:w="2604" w:type="dxa"/>
            <w:tcBorders>
              <w:top w:val="single" w:color="000000" w:sz="4" w:space="0"/>
              <w:left w:val="single" w:color="000000" w:sz="4" w:space="0"/>
              <w:bottom w:val="single" w:color="000000" w:sz="4"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按项目专用合同条款第</w:t>
            </w:r>
            <w:r>
              <w:rPr>
                <w:rFonts w:ascii="宋体" w:hAnsi="宋体" w:eastAsia="宋体"/>
                <w:sz w:val="24"/>
              </w:rPr>
              <w:t>15项规定扣除违约金</w:t>
            </w:r>
          </w:p>
        </w:tc>
        <w:tc>
          <w:tcPr>
            <w:tcW w:w="1739" w:type="dxa"/>
            <w:tcBorders>
              <w:top w:val="single" w:color="000000" w:sz="4" w:space="0"/>
              <w:left w:val="single" w:color="000000" w:sz="4" w:space="0"/>
              <w:bottom w:val="single" w:color="000000" w:sz="4" w:space="0"/>
              <w:right w:val="single" w:color="auto" w:sz="12" w:space="0"/>
            </w:tcBorders>
          </w:tcPr>
          <w:p>
            <w:pPr>
              <w:pStyle w:val="28"/>
              <w:widowControl/>
              <w:spacing w:line="360" w:lineRule="auto"/>
              <w:rPr>
                <w:rFonts w:ascii="宋体" w:hAnsi="宋体" w:eastAsia="宋体"/>
                <w:sz w:val="24"/>
              </w:rPr>
            </w:pPr>
          </w:p>
        </w:tc>
      </w:tr>
      <w:tr>
        <w:tblPrEx>
          <w:tblCellMar>
            <w:top w:w="0" w:type="dxa"/>
            <w:left w:w="0" w:type="dxa"/>
            <w:bottom w:w="0" w:type="dxa"/>
            <w:right w:w="0" w:type="dxa"/>
          </w:tblCellMar>
        </w:tblPrEx>
        <w:trPr>
          <w:trHeight w:val="20" w:hRule="atLeast"/>
          <w:jc w:val="center"/>
        </w:trPr>
        <w:tc>
          <w:tcPr>
            <w:tcW w:w="737" w:type="dxa"/>
            <w:tcBorders>
              <w:top w:val="single" w:color="000000" w:sz="4" w:space="0"/>
              <w:left w:val="single" w:color="auto" w:sz="12" w:space="0"/>
              <w:bottom w:val="single" w:color="auto" w:sz="12"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23</w:t>
            </w:r>
          </w:p>
        </w:tc>
        <w:tc>
          <w:tcPr>
            <w:tcW w:w="1155" w:type="dxa"/>
            <w:tcBorders>
              <w:top w:val="single" w:color="000000" w:sz="4" w:space="0"/>
              <w:left w:val="single" w:color="000000" w:sz="4" w:space="0"/>
              <w:bottom w:val="single" w:color="auto" w:sz="12" w:space="0"/>
              <w:right w:val="single" w:color="000000" w:sz="4"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15</w:t>
            </w:r>
          </w:p>
        </w:tc>
        <w:tc>
          <w:tcPr>
            <w:tcW w:w="3620" w:type="dxa"/>
            <w:tcBorders>
              <w:top w:val="single" w:color="000000" w:sz="4" w:space="0"/>
              <w:left w:val="single" w:color="000000" w:sz="4" w:space="0"/>
              <w:bottom w:val="single" w:color="auto" w:sz="12"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承包人未履行监理人的指令对缺陷工程进行修补、修复或重建，发包人可自行修复或委托其他人修复</w:t>
            </w:r>
          </w:p>
        </w:tc>
        <w:tc>
          <w:tcPr>
            <w:tcW w:w="2604" w:type="dxa"/>
            <w:tcBorders>
              <w:top w:val="single" w:color="000000" w:sz="4" w:space="0"/>
              <w:left w:val="single" w:color="000000" w:sz="4" w:space="0"/>
              <w:bottom w:val="single" w:color="auto" w:sz="12" w:space="0"/>
              <w:right w:val="single" w:color="000000" w:sz="4"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应由承包人承担修复和查验的费用，并按该项修复和查验费用的</w:t>
            </w:r>
            <w:r>
              <w:rPr>
                <w:rFonts w:ascii="宋体" w:hAnsi="宋体" w:eastAsia="宋体"/>
                <w:sz w:val="24"/>
              </w:rPr>
              <w:t xml:space="preserve"> 10％扣除承包人违约金。</w:t>
            </w:r>
          </w:p>
        </w:tc>
        <w:tc>
          <w:tcPr>
            <w:tcW w:w="1739" w:type="dxa"/>
            <w:tcBorders>
              <w:top w:val="single" w:color="000000" w:sz="4" w:space="0"/>
              <w:left w:val="single" w:color="000000" w:sz="4" w:space="0"/>
              <w:bottom w:val="single" w:color="auto" w:sz="12" w:space="0"/>
              <w:right w:val="single" w:color="auto" w:sz="12" w:space="0"/>
            </w:tcBorders>
          </w:tcPr>
          <w:p>
            <w:pPr>
              <w:pStyle w:val="28"/>
              <w:widowControl/>
              <w:spacing w:line="360" w:lineRule="auto"/>
              <w:rPr>
                <w:rFonts w:ascii="宋体" w:hAnsi="宋体" w:eastAsia="宋体"/>
                <w:sz w:val="24"/>
              </w:rPr>
            </w:pPr>
          </w:p>
        </w:tc>
      </w:tr>
    </w:tbl>
    <w:p>
      <w:pPr>
        <w:pStyle w:val="28"/>
        <w:spacing w:line="360" w:lineRule="auto"/>
        <w:ind w:left="1519" w:hanging="1519" w:hangingChars="633"/>
        <w:rPr>
          <w:rFonts w:ascii="宋体" w:hAnsi="宋体" w:eastAsia="宋体"/>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spacing w:line="360" w:lineRule="auto"/>
        <w:rPr>
          <w:rFonts w:ascii="宋体" w:hAnsi="宋体" w:eastAsia="宋体"/>
          <w:b/>
          <w:bCs/>
          <w:sz w:val="24"/>
        </w:rPr>
      </w:pPr>
      <w:r>
        <w:rPr>
          <w:rFonts w:hint="eastAsia" w:ascii="宋体" w:hAnsi="宋体" w:eastAsia="宋体"/>
          <w:b/>
          <w:bCs/>
          <w:sz w:val="24"/>
        </w:rPr>
        <w:t>附件</w:t>
      </w:r>
      <w:r>
        <w:rPr>
          <w:rFonts w:ascii="宋体" w:hAnsi="宋体" w:eastAsia="宋体"/>
          <w:b/>
          <w:bCs/>
          <w:sz w:val="24"/>
        </w:rPr>
        <w:t>6：</w:t>
      </w:r>
    </w:p>
    <w:p>
      <w:pPr>
        <w:pStyle w:val="28"/>
        <w:widowControl/>
        <w:spacing w:line="360" w:lineRule="auto"/>
        <w:jc w:val="center"/>
        <w:rPr>
          <w:rFonts w:ascii="宋体" w:hAnsi="宋体" w:eastAsia="宋体"/>
          <w:sz w:val="24"/>
        </w:rPr>
      </w:pPr>
      <w:r>
        <w:rPr>
          <w:rFonts w:hint="eastAsia" w:ascii="宋体" w:hAnsi="宋体" w:eastAsia="宋体"/>
          <w:sz w:val="24"/>
        </w:rPr>
        <w:t>工程质量及文明施工处罚项目一览表（表一）</w:t>
      </w:r>
    </w:p>
    <w:tbl>
      <w:tblPr>
        <w:tblStyle w:val="1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85" w:type="dxa"/>
          <w:left w:w="108" w:type="dxa"/>
          <w:bottom w:w="85" w:type="dxa"/>
          <w:right w:w="108" w:type="dxa"/>
        </w:tblCellMar>
      </w:tblPr>
      <w:tblGrid>
        <w:gridCol w:w="939"/>
        <w:gridCol w:w="697"/>
        <w:gridCol w:w="76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tblHeader/>
          <w:jc w:val="center"/>
        </w:trPr>
        <w:tc>
          <w:tcPr>
            <w:tcW w:w="9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hint="eastAsia" w:ascii="宋体" w:hAnsi="宋体" w:eastAsia="宋体"/>
                <w:sz w:val="24"/>
              </w:rPr>
              <w:t>类别</w:t>
            </w: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hint="eastAsia" w:ascii="宋体" w:hAnsi="宋体" w:eastAsia="宋体"/>
                <w:sz w:val="24"/>
              </w:rPr>
              <w:t>序号</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hint="eastAsia" w:ascii="宋体" w:hAnsi="宋体" w:eastAsia="宋体"/>
                <w:sz w:val="24"/>
              </w:rPr>
              <w:t>处</w:t>
            </w:r>
            <w:r>
              <w:rPr>
                <w:rFonts w:ascii="宋体" w:hAnsi="宋体" w:eastAsia="宋体"/>
                <w:sz w:val="24"/>
              </w:rPr>
              <w:t xml:space="preserve"> </w:t>
            </w:r>
            <w:r>
              <w:rPr>
                <w:rFonts w:hint="eastAsia" w:ascii="宋体" w:hAnsi="宋体" w:eastAsia="宋体"/>
                <w:sz w:val="24"/>
              </w:rPr>
              <w:t>罚</w:t>
            </w:r>
            <w:r>
              <w:rPr>
                <w:rFonts w:ascii="宋体" w:hAnsi="宋体" w:eastAsia="宋体"/>
                <w:sz w:val="24"/>
              </w:rPr>
              <w:t xml:space="preserve"> </w:t>
            </w:r>
            <w:r>
              <w:rPr>
                <w:rFonts w:hint="eastAsia" w:ascii="宋体" w:hAnsi="宋体" w:eastAsia="宋体"/>
                <w:sz w:val="24"/>
              </w:rPr>
              <w:t>项</w:t>
            </w:r>
            <w:r>
              <w:rPr>
                <w:rFonts w:ascii="宋体" w:hAnsi="宋体" w:eastAsia="宋体"/>
                <w:sz w:val="24"/>
              </w:rPr>
              <w:t xml:space="preserve"> </w:t>
            </w:r>
            <w:r>
              <w:rPr>
                <w:rFonts w:hint="eastAsia" w:ascii="宋体" w:hAnsi="宋体" w:eastAsia="宋体"/>
                <w:sz w:val="24"/>
              </w:rPr>
              <w:t>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restart"/>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hint="eastAsia" w:ascii="宋体" w:hAnsi="宋体" w:eastAsia="宋体"/>
                <w:sz w:val="24"/>
              </w:rPr>
              <w:t>安全生产</w:t>
            </w: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基坑开挖未有效围护的，桩孔施工后未加盖的，每处罚款</w:t>
            </w:r>
            <w:r>
              <w:rPr>
                <w:rFonts w:ascii="宋体" w:hAnsi="宋体" w:eastAsia="宋体"/>
                <w:sz w:val="24"/>
              </w:rPr>
              <w:t>1,000元。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6"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2</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电力线路架设凌乱不牢固；电源线老化、绝缘损坏、接头处无包扎的；使用花线或劣质电线；不设电箱、漏电开关；施工现场未设安全警示牌，每处罚款</w:t>
            </w:r>
            <w:r>
              <w:rPr>
                <w:rFonts w:ascii="宋体" w:hAnsi="宋体" w:eastAsia="宋体"/>
                <w:sz w:val="24"/>
              </w:rPr>
              <w:t>1,000元。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6"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爆破作业应按批准的爆破方案及施工安全技术规程的要求进行，并对人身、工程本身及所有财产采取保护措施，违者每次罚款</w:t>
            </w:r>
            <w:r>
              <w:rPr>
                <w:rFonts w:ascii="宋体" w:hAnsi="宋体" w:eastAsia="宋体"/>
                <w:sz w:val="24"/>
              </w:rPr>
              <w:t>2,000元。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6"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4</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爆破器材设专人保管，严格领用手续，违者每次罚款</w:t>
            </w:r>
            <w:r>
              <w:rPr>
                <w:rFonts w:ascii="宋体" w:hAnsi="宋体" w:eastAsia="宋体"/>
                <w:sz w:val="24"/>
              </w:rPr>
              <w:t>2,000元。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6"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5</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对于安全风险大的高空作业、梁板吊装，要求制订安全预案，违者每次罚款</w:t>
            </w:r>
            <w:r>
              <w:rPr>
                <w:rFonts w:ascii="宋体" w:hAnsi="宋体" w:eastAsia="宋体"/>
                <w:sz w:val="24"/>
              </w:rPr>
              <w:t>2,000元。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6"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6</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出现以下情况每次罚款</w:t>
            </w:r>
            <w:r>
              <w:rPr>
                <w:rFonts w:ascii="宋体" w:hAnsi="宋体" w:eastAsia="宋体"/>
                <w:sz w:val="24"/>
              </w:rPr>
              <w:t>2,000元：</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1）施工车辆和机械带病上岗，操作人员无证上岗和违反操作规程；</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2）发生各种事故苗头及事故未及时不整改和隐瞒不报；</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3）每月安全大检查，安全管理人员无故不在位；</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4）主要施工机械设备应悬挂操作规程；</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5）作业人员酒后作业、机器设备带病作业的；</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6）施工未进行安全交底，安全交底无记录的。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0" w:hRule="atLeast"/>
          <w:jc w:val="center"/>
        </w:trPr>
        <w:tc>
          <w:tcPr>
            <w:tcW w:w="939" w:type="dxa"/>
            <w:vMerge w:val="continue"/>
            <w:tcBorders>
              <w:top w:val="single" w:color="auto" w:sz="6"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7</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施工现场人员出现以下情况，每人</w:t>
            </w:r>
            <w:r>
              <w:rPr>
                <w:rFonts w:ascii="宋体" w:hAnsi="宋体" w:eastAsia="宋体"/>
                <w:sz w:val="24"/>
              </w:rPr>
              <w:t>/次罚款500元：</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1）不戴安全帽；</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2）高空作业不系安全带；</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3）水上作业不穿救生衣；</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 xml:space="preserve">4）赤脚或穿拖鞋； </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5）爆破员、安全员、电工、装载机司机、运输车司机、电焊工、砼工、吊车、架桥机等特殊工种未持证上岗的。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restart"/>
            <w:tcBorders>
              <w:top w:val="single" w:color="auto" w:sz="4"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hint="eastAsia" w:ascii="宋体" w:hAnsi="宋体" w:eastAsia="宋体"/>
                <w:sz w:val="24"/>
              </w:rPr>
              <w:t>文明施工</w:t>
            </w: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承包人驻地建设应包括防护、围墙、临时便道和安全、卫生、防火设施，违者每项罚款</w:t>
            </w:r>
            <w:r>
              <w:rPr>
                <w:rFonts w:ascii="宋体" w:hAnsi="宋体" w:eastAsia="宋体"/>
                <w:sz w:val="24"/>
              </w:rPr>
              <w:t>5000元。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0" w:hRule="atLeast"/>
          <w:jc w:val="center"/>
        </w:trPr>
        <w:tc>
          <w:tcPr>
            <w:tcW w:w="939" w:type="dxa"/>
            <w:vMerge w:val="continue"/>
            <w:tcBorders>
              <w:top w:val="single" w:color="auto" w:sz="4"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2</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承包人项目经理部应按发包人统一要求设置组织机构、质量管理、安全生产等宣传牌，违者每项罚款</w:t>
            </w:r>
            <w:r>
              <w:rPr>
                <w:rFonts w:ascii="宋体" w:hAnsi="宋体" w:eastAsia="宋体"/>
                <w:sz w:val="24"/>
              </w:rPr>
              <w:t>5000元。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4"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单项工程的施工现场未按要求设立标示牌的，施工点无安全员的</w:t>
            </w:r>
            <w:r>
              <w:rPr>
                <w:rFonts w:ascii="宋体" w:hAnsi="宋体" w:eastAsia="宋体"/>
                <w:sz w:val="24"/>
              </w:rPr>
              <w:t>,每处罚款500元。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4"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4</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施工现场管理人员不佩带工作证</w:t>
            </w:r>
            <w:r>
              <w:rPr>
                <w:rFonts w:ascii="宋体" w:hAnsi="宋体" w:eastAsia="宋体"/>
                <w:sz w:val="24"/>
              </w:rPr>
              <w:t xml:space="preserve">, </w:t>
            </w:r>
            <w:r>
              <w:rPr>
                <w:rFonts w:hint="eastAsia" w:ascii="宋体" w:hAnsi="宋体" w:eastAsia="宋体"/>
                <w:sz w:val="24"/>
              </w:rPr>
              <w:t>每人</w:t>
            </w:r>
            <w:r>
              <w:rPr>
                <w:rFonts w:ascii="宋体" w:hAnsi="宋体" w:eastAsia="宋体"/>
                <w:sz w:val="24"/>
              </w:rPr>
              <w:t>/次罚款200元：。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4"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5</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路基施工作业面、便道不及时洒水降尘的，每次罚款</w:t>
            </w:r>
            <w:r>
              <w:rPr>
                <w:rFonts w:ascii="宋体" w:hAnsi="宋体" w:eastAsia="宋体"/>
                <w:sz w:val="24"/>
              </w:rPr>
              <w:t>3,000元。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restart"/>
            <w:tcBorders>
              <w:top w:val="single" w:color="auto" w:sz="6" w:space="0"/>
              <w:left w:val="single" w:color="auto" w:sz="6" w:space="0"/>
              <w:bottom w:val="single" w:color="auto" w:sz="4" w:space="0"/>
              <w:right w:val="single" w:color="auto" w:sz="6" w:space="0"/>
            </w:tcBorders>
            <w:vAlign w:val="center"/>
          </w:tcPr>
          <w:p>
            <w:pPr>
              <w:pStyle w:val="28"/>
              <w:widowControl/>
              <w:spacing w:line="360" w:lineRule="auto"/>
              <w:jc w:val="center"/>
              <w:rPr>
                <w:rFonts w:ascii="宋体" w:hAnsi="宋体" w:eastAsia="宋体"/>
                <w:sz w:val="24"/>
              </w:rPr>
            </w:pPr>
            <w:r>
              <w:rPr>
                <w:rFonts w:hint="eastAsia" w:ascii="宋体" w:hAnsi="宋体" w:eastAsia="宋体"/>
                <w:sz w:val="24"/>
              </w:rPr>
              <w:t>文明施工</w:t>
            </w: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6</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施工过程中的泥浆及废弃物等，须在该项工程完工时即时清除干净，违者罚款</w:t>
            </w:r>
            <w:r>
              <w:rPr>
                <w:rFonts w:ascii="宋体" w:hAnsi="宋体" w:eastAsia="宋体"/>
                <w:sz w:val="24"/>
              </w:rPr>
              <w:t>1,0000元。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6" w:space="0"/>
              <w:left w:val="single" w:color="auto" w:sz="6" w:space="0"/>
              <w:bottom w:val="single" w:color="auto" w:sz="4"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7</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施工废料乱堆乱放的，每次罚款</w:t>
            </w:r>
            <w:r>
              <w:rPr>
                <w:rFonts w:ascii="宋体" w:hAnsi="宋体" w:eastAsia="宋体"/>
                <w:sz w:val="24"/>
              </w:rPr>
              <w:t>3,000元。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6" w:space="0"/>
              <w:left w:val="single" w:color="auto" w:sz="6" w:space="0"/>
              <w:bottom w:val="single" w:color="auto" w:sz="4"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8</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施工废水、生活污水不得直接排入农田、耕地、沟渠和水库，严禁排入饮用水源，违者每次罚款</w:t>
            </w:r>
            <w:r>
              <w:rPr>
                <w:rFonts w:ascii="宋体" w:hAnsi="宋体" w:eastAsia="宋体"/>
                <w:sz w:val="24"/>
              </w:rPr>
              <w:t>1,0000元。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6" w:space="0"/>
              <w:left w:val="single" w:color="auto" w:sz="6" w:space="0"/>
              <w:bottom w:val="single" w:color="auto" w:sz="4"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9</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施工现场未采取有效措施，造成水源污染、空气污染等不良后果，引起群众抗议、投诉或有关行政主管部门处罚的，每次罚款</w:t>
            </w:r>
            <w:r>
              <w:rPr>
                <w:rFonts w:ascii="宋体" w:hAnsi="宋体" w:eastAsia="宋体"/>
                <w:sz w:val="24"/>
              </w:rPr>
              <w:t>10，000元。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6" w:space="0"/>
              <w:left w:val="single" w:color="auto" w:sz="6" w:space="0"/>
              <w:bottom w:val="single" w:color="auto" w:sz="4"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10</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弃土、弃渣占农田果园、堵塞水道以及造成水土流失的，每次罚款</w:t>
            </w:r>
            <w:r>
              <w:rPr>
                <w:rFonts w:ascii="宋体" w:hAnsi="宋体" w:eastAsia="宋体"/>
                <w:sz w:val="24"/>
              </w:rPr>
              <w:t>5000元。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6" w:space="0"/>
              <w:left w:val="single" w:color="auto" w:sz="6" w:space="0"/>
              <w:bottom w:val="single" w:color="auto" w:sz="4"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11</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水土保持防护措施不完善，造成水土流失，污染当地农田水利的，每次罚款</w:t>
            </w:r>
            <w:r>
              <w:rPr>
                <w:rFonts w:ascii="宋体" w:hAnsi="宋体" w:eastAsia="宋体"/>
                <w:sz w:val="24"/>
              </w:rPr>
              <w:t>5000元。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restart"/>
            <w:tcBorders>
              <w:top w:val="single" w:color="auto" w:sz="4" w:space="0"/>
              <w:left w:val="single" w:color="auto" w:sz="6" w:space="0"/>
              <w:bottom w:val="single" w:color="auto" w:sz="4" w:space="0"/>
              <w:right w:val="single" w:color="auto" w:sz="6" w:space="0"/>
            </w:tcBorders>
            <w:vAlign w:val="center"/>
          </w:tcPr>
          <w:p>
            <w:pPr>
              <w:pStyle w:val="28"/>
              <w:widowControl/>
              <w:spacing w:line="360" w:lineRule="auto"/>
              <w:jc w:val="center"/>
              <w:rPr>
                <w:rFonts w:ascii="宋体" w:hAnsi="宋体" w:eastAsia="宋体"/>
                <w:sz w:val="24"/>
              </w:rPr>
            </w:pPr>
            <w:r>
              <w:rPr>
                <w:rFonts w:hint="eastAsia" w:ascii="宋体" w:hAnsi="宋体" w:eastAsia="宋体"/>
                <w:sz w:val="24"/>
              </w:rPr>
              <w:t>内业资料</w:t>
            </w: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开工前须结合工程特点进行分项、分部和单位工程划分，现场质量检查、质量验收资料按照划分进行归纳收集，违者每次罚款</w:t>
            </w:r>
            <w:r>
              <w:rPr>
                <w:rFonts w:ascii="宋体" w:hAnsi="宋体" w:eastAsia="宋体"/>
                <w:sz w:val="24"/>
              </w:rPr>
              <w:t>2,000元。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4" w:space="0"/>
              <w:left w:val="single" w:color="auto" w:sz="6" w:space="0"/>
              <w:bottom w:val="single" w:color="auto" w:sz="4"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2</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内业原始资料弄虚作假的，不及时填写的，填写不完整规范的，每次罚款</w:t>
            </w:r>
            <w:r>
              <w:rPr>
                <w:rFonts w:ascii="宋体" w:hAnsi="宋体" w:eastAsia="宋体"/>
                <w:sz w:val="24"/>
              </w:rPr>
              <w:t>1,000元。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4" w:space="0"/>
              <w:left w:val="single" w:color="auto" w:sz="6" w:space="0"/>
              <w:bottom w:val="single" w:color="auto" w:sz="4"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内业原始资料和整理资料未按有关要求采用文件盒及时归档，每次罚款</w:t>
            </w:r>
            <w:r>
              <w:rPr>
                <w:rFonts w:ascii="宋体" w:hAnsi="宋体" w:eastAsia="宋体"/>
                <w:sz w:val="24"/>
              </w:rPr>
              <w:t>500元。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4" w:space="0"/>
              <w:left w:val="single" w:color="auto" w:sz="6" w:space="0"/>
              <w:bottom w:val="single" w:color="auto" w:sz="4"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4</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分部工程完成时，须将原始资料、施工记录、进度照片等资料整理归纳，装订成册，违者每次罚款</w:t>
            </w:r>
            <w:r>
              <w:rPr>
                <w:rFonts w:ascii="宋体" w:hAnsi="宋体" w:eastAsia="宋体"/>
                <w:sz w:val="24"/>
              </w:rPr>
              <w:t>2,000元。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4" w:space="0"/>
              <w:left w:val="single" w:color="auto" w:sz="6" w:space="0"/>
              <w:bottom w:val="single" w:color="auto" w:sz="4"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5</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试验设备不齐全，未建立试验台账，每次罚款</w:t>
            </w:r>
            <w:r>
              <w:rPr>
                <w:rFonts w:ascii="宋体" w:hAnsi="宋体" w:eastAsia="宋体"/>
                <w:sz w:val="24"/>
              </w:rPr>
              <w:t>5,000元。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restart"/>
            <w:tcBorders>
              <w:top w:val="single" w:color="auto" w:sz="4"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hint="eastAsia" w:ascii="宋体" w:hAnsi="宋体" w:eastAsia="宋体"/>
                <w:sz w:val="24"/>
              </w:rPr>
              <w:t>其他</w:t>
            </w: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不按照有关规定进行技术交底就进行施工作业的，每次罚款</w:t>
            </w:r>
            <w:r>
              <w:rPr>
                <w:rFonts w:ascii="宋体" w:hAnsi="宋体" w:eastAsia="宋体"/>
                <w:sz w:val="24"/>
              </w:rPr>
              <w:t>2,000元。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4"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2</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上一道工序未经监理人签认就进行下一道工序施工的，每次罚款</w:t>
            </w:r>
            <w:r>
              <w:rPr>
                <w:rFonts w:ascii="宋体" w:hAnsi="宋体" w:eastAsia="宋体"/>
                <w:sz w:val="24"/>
              </w:rPr>
              <w:t>5,000元。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4"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要求返工的工程未在规定的时间内进行返工或要求清除出施工现场材料未在规定的时间内清除出场的，每延误一天罚</w:t>
            </w:r>
            <w:r>
              <w:rPr>
                <w:rFonts w:ascii="宋体" w:hAnsi="宋体" w:eastAsia="宋体"/>
                <w:sz w:val="24"/>
              </w:rPr>
              <w:t>1000元。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0" w:hRule="atLeast"/>
          <w:jc w:val="center"/>
        </w:trPr>
        <w:tc>
          <w:tcPr>
            <w:tcW w:w="939" w:type="dxa"/>
            <w:vMerge w:val="continue"/>
            <w:tcBorders>
              <w:top w:val="single" w:color="auto" w:sz="4"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4</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水泥、钢筋、钢筋笼等存放不满足要求的，每次罚款</w:t>
            </w:r>
            <w:r>
              <w:rPr>
                <w:rFonts w:ascii="宋体" w:hAnsi="宋体" w:eastAsia="宋体"/>
                <w:sz w:val="24"/>
              </w:rPr>
              <w:t>2,000元。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4"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5</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所有桩标须加固保护，树立易于识别得标志，违者每处罚款</w:t>
            </w:r>
            <w:r>
              <w:rPr>
                <w:rFonts w:ascii="宋体" w:hAnsi="宋体" w:eastAsia="宋体"/>
                <w:sz w:val="24"/>
              </w:rPr>
              <w:t>2,000元。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4"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6</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实验及检测仪器未标定或标定不合格仍使用的，每次罚款</w:t>
            </w:r>
            <w:r>
              <w:rPr>
                <w:rFonts w:ascii="宋体" w:hAnsi="宋体" w:eastAsia="宋体"/>
                <w:sz w:val="24"/>
              </w:rPr>
              <w:t>2,000元。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4"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7</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检验项目、方法、频率，没有按设计或规范要求执行；原材料送检和其它自检项目的试验（如钢筋焊接，土的重击实试验）不及时，频率未达到规定要求，每次罚款</w:t>
            </w:r>
            <w:r>
              <w:rPr>
                <w:rFonts w:ascii="宋体" w:hAnsi="宋体" w:eastAsia="宋体"/>
                <w:sz w:val="24"/>
              </w:rPr>
              <w:t>2,000元。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85" w:type="dxa"/>
            <w:left w:w="108" w:type="dxa"/>
            <w:bottom w:w="85" w:type="dxa"/>
            <w:right w:w="108" w:type="dxa"/>
          </w:tblCellMar>
        </w:tblPrEx>
        <w:trPr>
          <w:trHeight w:val="20" w:hRule="atLeast"/>
          <w:jc w:val="center"/>
        </w:trPr>
        <w:tc>
          <w:tcPr>
            <w:tcW w:w="939" w:type="dxa"/>
            <w:vMerge w:val="continue"/>
            <w:tcBorders>
              <w:top w:val="single" w:color="auto" w:sz="4" w:space="0"/>
              <w:left w:val="single" w:color="auto" w:sz="6"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97"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8</w:t>
            </w:r>
          </w:p>
        </w:tc>
        <w:tc>
          <w:tcPr>
            <w:tcW w:w="764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未经检验合格的材料（原材料、锚具等）用于施工的，每次罚款</w:t>
            </w:r>
            <w:r>
              <w:rPr>
                <w:rFonts w:ascii="宋体" w:hAnsi="宋体" w:eastAsia="宋体"/>
                <w:sz w:val="24"/>
              </w:rPr>
              <w:t>5,000元。</w:t>
            </w:r>
          </w:p>
        </w:tc>
      </w:tr>
    </w:tbl>
    <w:p>
      <w:pPr>
        <w:pStyle w:val="28"/>
        <w:spacing w:line="360" w:lineRule="auto"/>
        <w:ind w:right="150" w:firstLine="480" w:firstLineChars="200"/>
        <w:jc w:val="left"/>
        <w:rPr>
          <w:rFonts w:ascii="宋体" w:hAnsi="宋体" w:eastAsia="宋体"/>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adjustRightInd w:val="0"/>
        <w:spacing w:line="420" w:lineRule="atLeast"/>
        <w:jc w:val="left"/>
        <w:rPr>
          <w:rFonts w:ascii="宋体" w:hAnsi="宋体" w:eastAsia="宋体"/>
          <w:kern w:val="0"/>
          <w:sz w:val="24"/>
        </w:rPr>
      </w:pPr>
    </w:p>
    <w:p>
      <w:pPr>
        <w:pStyle w:val="28"/>
        <w:widowControl/>
        <w:spacing w:line="360" w:lineRule="auto"/>
        <w:jc w:val="center"/>
        <w:rPr>
          <w:rFonts w:ascii="宋体" w:hAnsi="宋体" w:eastAsia="宋体"/>
          <w:sz w:val="24"/>
        </w:rPr>
      </w:pPr>
      <w:r>
        <w:rPr>
          <w:rFonts w:hint="eastAsia" w:ascii="宋体" w:hAnsi="宋体" w:eastAsia="宋体"/>
          <w:sz w:val="24"/>
        </w:rPr>
        <w:t>材料管理违约处罚一览表（表二）</w:t>
      </w:r>
    </w:p>
    <w:tbl>
      <w:tblPr>
        <w:tblStyle w:val="1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9"/>
        <w:gridCol w:w="639"/>
        <w:gridCol w:w="6075"/>
        <w:gridCol w:w="24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 w:hRule="atLeast"/>
          <w:jc w:val="center"/>
        </w:trPr>
        <w:tc>
          <w:tcPr>
            <w:tcW w:w="639" w:type="dxa"/>
            <w:tcBorders>
              <w:top w:val="single" w:color="auto" w:sz="12" w:space="0"/>
              <w:left w:val="single" w:color="auto" w:sz="12"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hint="eastAsia" w:ascii="宋体" w:hAnsi="宋体" w:eastAsia="宋体"/>
                <w:sz w:val="24"/>
              </w:rPr>
              <w:t>类别</w:t>
            </w:r>
          </w:p>
        </w:tc>
        <w:tc>
          <w:tcPr>
            <w:tcW w:w="639" w:type="dxa"/>
            <w:tcBorders>
              <w:top w:val="single" w:color="auto" w:sz="12"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hint="eastAsia" w:ascii="宋体" w:hAnsi="宋体" w:eastAsia="宋体"/>
                <w:sz w:val="24"/>
              </w:rPr>
              <w:t>序号</w:t>
            </w:r>
          </w:p>
        </w:tc>
        <w:tc>
          <w:tcPr>
            <w:tcW w:w="6075" w:type="dxa"/>
            <w:tcBorders>
              <w:top w:val="single" w:color="auto" w:sz="12"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hint="eastAsia" w:ascii="宋体" w:hAnsi="宋体" w:eastAsia="宋体"/>
                <w:sz w:val="24"/>
              </w:rPr>
              <w:t>处罚项目</w:t>
            </w:r>
          </w:p>
        </w:tc>
        <w:tc>
          <w:tcPr>
            <w:tcW w:w="2427" w:type="dxa"/>
            <w:tcBorders>
              <w:top w:val="single" w:color="auto" w:sz="12" w:space="0"/>
              <w:left w:val="single" w:color="auto" w:sz="6" w:space="0"/>
              <w:bottom w:val="single" w:color="auto" w:sz="6" w:space="0"/>
              <w:right w:val="single" w:color="auto" w:sz="12" w:space="0"/>
            </w:tcBorders>
            <w:vAlign w:val="center"/>
          </w:tcPr>
          <w:p>
            <w:pPr>
              <w:pStyle w:val="28"/>
              <w:widowControl/>
              <w:spacing w:line="360" w:lineRule="auto"/>
              <w:jc w:val="center"/>
              <w:rPr>
                <w:rFonts w:ascii="宋体" w:hAnsi="宋体" w:eastAsia="宋体"/>
                <w:sz w:val="24"/>
              </w:rPr>
            </w:pPr>
            <w:r>
              <w:rPr>
                <w:rFonts w:hint="eastAsia" w:ascii="宋体" w:hAnsi="宋体" w:eastAsia="宋体"/>
                <w:sz w:val="24"/>
              </w:rPr>
              <w:t>罚</w:t>
            </w:r>
            <w:r>
              <w:rPr>
                <w:rFonts w:ascii="宋体" w:hAnsi="宋体" w:eastAsia="宋体"/>
                <w:sz w:val="24"/>
              </w:rPr>
              <w:t xml:space="preserve"> </w:t>
            </w:r>
            <w:r>
              <w:rPr>
                <w:rFonts w:hint="eastAsia" w:ascii="宋体" w:hAnsi="宋体" w:eastAsia="宋体"/>
                <w:sz w:val="24"/>
              </w:rPr>
              <w:t>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7" w:hRule="atLeast"/>
          <w:jc w:val="center"/>
        </w:trPr>
        <w:tc>
          <w:tcPr>
            <w:tcW w:w="639" w:type="dxa"/>
            <w:vMerge w:val="restart"/>
            <w:tcBorders>
              <w:top w:val="single" w:color="auto" w:sz="6" w:space="0"/>
              <w:left w:val="single" w:color="auto" w:sz="12" w:space="0"/>
              <w:bottom w:val="single" w:color="auto" w:sz="6" w:space="0"/>
              <w:right w:val="single" w:color="auto" w:sz="6" w:space="0"/>
            </w:tcBorders>
            <w:textDirection w:val="tbRlV"/>
            <w:vAlign w:val="center"/>
          </w:tcPr>
          <w:p>
            <w:pPr>
              <w:pStyle w:val="28"/>
              <w:widowControl/>
              <w:spacing w:line="360" w:lineRule="auto"/>
              <w:jc w:val="center"/>
              <w:rPr>
                <w:rFonts w:ascii="宋体" w:hAnsi="宋体" w:eastAsia="宋体"/>
                <w:sz w:val="24"/>
              </w:rPr>
            </w:pPr>
            <w:r>
              <w:rPr>
                <w:rFonts w:hint="eastAsia" w:ascii="宋体" w:hAnsi="宋体" w:eastAsia="宋体"/>
                <w:sz w:val="24"/>
              </w:rPr>
              <w:t>计划与管理</w:t>
            </w: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不按施工进度计划及时做好材料计划或计划混乱，未能符合现场施工进度需求。</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每次处罚</w:t>
            </w:r>
            <w:r>
              <w:rPr>
                <w:rFonts w:ascii="宋体" w:hAnsi="宋体" w:eastAsia="宋体"/>
                <w:sz w:val="24"/>
              </w:rPr>
              <w:t>1000元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7" w:hRule="atLeast"/>
          <w:jc w:val="center"/>
        </w:trPr>
        <w:tc>
          <w:tcPr>
            <w:tcW w:w="639" w:type="dxa"/>
            <w:vMerge w:val="continue"/>
            <w:tcBorders>
              <w:top w:val="single" w:color="auto" w:sz="6" w:space="0"/>
              <w:left w:val="single" w:color="auto" w:sz="12"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2</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报告库存量与实际不符，或库存量与进度计划明显不符，影响施工进度。</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每次处罚</w:t>
            </w:r>
            <w:r>
              <w:rPr>
                <w:rFonts w:ascii="宋体" w:hAnsi="宋体" w:eastAsia="宋体"/>
                <w:sz w:val="24"/>
              </w:rPr>
              <w:t>1000元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639" w:type="dxa"/>
            <w:vMerge w:val="continue"/>
            <w:tcBorders>
              <w:top w:val="single" w:color="auto" w:sz="6" w:space="0"/>
              <w:left w:val="single" w:color="auto" w:sz="12"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3</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擅自采购并使用合同范围外规定不符合设计技术要求的材料。</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按查获材料价格</w:t>
            </w:r>
            <w:r>
              <w:rPr>
                <w:rFonts w:ascii="宋体" w:hAnsi="宋体" w:eastAsia="宋体"/>
                <w:sz w:val="24"/>
              </w:rPr>
              <w:t>2倍处罚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7" w:hRule="atLeast"/>
          <w:jc w:val="center"/>
        </w:trPr>
        <w:tc>
          <w:tcPr>
            <w:tcW w:w="639" w:type="dxa"/>
            <w:vMerge w:val="continue"/>
            <w:tcBorders>
              <w:top w:val="single" w:color="auto" w:sz="6" w:space="0"/>
              <w:left w:val="single" w:color="auto" w:sz="12"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4</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没有建立材料台账或材料台账不健全的，收料、使用领料流水账不明细</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每次处罚</w:t>
            </w:r>
            <w:r>
              <w:rPr>
                <w:rFonts w:ascii="宋体" w:hAnsi="宋体" w:eastAsia="宋体"/>
                <w:sz w:val="24"/>
              </w:rPr>
              <w:t>1000元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639" w:type="dxa"/>
            <w:vMerge w:val="continue"/>
            <w:tcBorders>
              <w:top w:val="single" w:color="auto" w:sz="6" w:space="0"/>
              <w:left w:val="single" w:color="auto" w:sz="12"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5</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没有项目部授权和发包人认可的材料管理员。</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每次处罚</w:t>
            </w:r>
            <w:r>
              <w:rPr>
                <w:rFonts w:ascii="宋体" w:hAnsi="宋体" w:eastAsia="宋体"/>
                <w:sz w:val="24"/>
              </w:rPr>
              <w:t>2000元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7" w:hRule="atLeast"/>
          <w:jc w:val="center"/>
        </w:trPr>
        <w:tc>
          <w:tcPr>
            <w:tcW w:w="639" w:type="dxa"/>
            <w:vMerge w:val="continue"/>
            <w:tcBorders>
              <w:top w:val="single" w:color="auto" w:sz="6" w:space="0"/>
              <w:left w:val="single" w:color="auto" w:sz="12"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6</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弄虚作假使用不合格材料。</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按查获材料价格</w:t>
            </w:r>
            <w:r>
              <w:rPr>
                <w:rFonts w:ascii="宋体" w:hAnsi="宋体" w:eastAsia="宋体"/>
                <w:sz w:val="24"/>
              </w:rPr>
              <w:t>2倍处罚，所在工程返工。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7" w:hRule="atLeast"/>
          <w:jc w:val="center"/>
        </w:trPr>
        <w:tc>
          <w:tcPr>
            <w:tcW w:w="639" w:type="dxa"/>
            <w:vMerge w:val="continue"/>
            <w:tcBorders>
              <w:top w:val="single" w:color="auto" w:sz="6" w:space="0"/>
              <w:left w:val="single" w:color="auto" w:sz="12"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7</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违反发包人材料管理规定程序，材料员不作为。</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每次处罚</w:t>
            </w:r>
            <w:r>
              <w:rPr>
                <w:rFonts w:ascii="宋体" w:hAnsi="宋体" w:eastAsia="宋体"/>
                <w:sz w:val="24"/>
              </w:rPr>
              <w:t>1000元，撤换材料员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7" w:hRule="atLeast"/>
          <w:jc w:val="center"/>
        </w:trPr>
        <w:tc>
          <w:tcPr>
            <w:tcW w:w="639" w:type="dxa"/>
            <w:vMerge w:val="restart"/>
            <w:tcBorders>
              <w:top w:val="single" w:color="auto" w:sz="6" w:space="0"/>
              <w:left w:val="single" w:color="auto" w:sz="12" w:space="0"/>
              <w:bottom w:val="single" w:color="auto" w:sz="6" w:space="0"/>
              <w:right w:val="single" w:color="auto" w:sz="6" w:space="0"/>
            </w:tcBorders>
            <w:textDirection w:val="tbRlV"/>
            <w:vAlign w:val="center"/>
          </w:tcPr>
          <w:p>
            <w:pPr>
              <w:pStyle w:val="28"/>
              <w:widowControl/>
              <w:spacing w:line="360" w:lineRule="auto"/>
              <w:jc w:val="center"/>
              <w:rPr>
                <w:rFonts w:ascii="宋体" w:hAnsi="宋体" w:eastAsia="宋体"/>
                <w:sz w:val="24"/>
              </w:rPr>
            </w:pPr>
            <w:r>
              <w:rPr>
                <w:rFonts w:hint="eastAsia" w:ascii="宋体" w:hAnsi="宋体" w:eastAsia="宋体"/>
                <w:sz w:val="24"/>
              </w:rPr>
              <w:t>质量与检验</w:t>
            </w: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8</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对材料的数量和重量抽检频率不达标或记录不全。</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每次处罚</w:t>
            </w:r>
            <w:r>
              <w:rPr>
                <w:rFonts w:ascii="宋体" w:hAnsi="宋体" w:eastAsia="宋体"/>
                <w:sz w:val="24"/>
              </w:rPr>
              <w:t>1000元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639" w:type="dxa"/>
            <w:vMerge w:val="continue"/>
            <w:tcBorders>
              <w:top w:val="single" w:color="auto" w:sz="6" w:space="0"/>
              <w:left w:val="single" w:color="auto" w:sz="12"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9</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材料送检和自检频率未达到规定要求。</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每次处罚</w:t>
            </w:r>
            <w:r>
              <w:rPr>
                <w:rFonts w:ascii="宋体" w:hAnsi="宋体" w:eastAsia="宋体"/>
                <w:sz w:val="24"/>
              </w:rPr>
              <w:t>2000元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639" w:type="dxa"/>
            <w:vMerge w:val="continue"/>
            <w:tcBorders>
              <w:top w:val="single" w:color="auto" w:sz="6" w:space="0"/>
              <w:left w:val="single" w:color="auto" w:sz="12"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10</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未经检验合格的材料用于施工。</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每次处罚</w:t>
            </w:r>
            <w:r>
              <w:rPr>
                <w:rFonts w:ascii="宋体" w:hAnsi="宋体" w:eastAsia="宋体"/>
                <w:sz w:val="24"/>
              </w:rPr>
              <w:t>10000元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639" w:type="dxa"/>
            <w:vMerge w:val="continue"/>
            <w:tcBorders>
              <w:top w:val="single" w:color="auto" w:sz="6" w:space="0"/>
              <w:left w:val="single" w:color="auto" w:sz="12" w:space="0"/>
              <w:bottom w:val="single" w:color="auto" w:sz="6"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11</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材料检验台账不健全，归档资料不完善。</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每次处罚</w:t>
            </w:r>
            <w:r>
              <w:rPr>
                <w:rFonts w:ascii="宋体" w:hAnsi="宋体" w:eastAsia="宋体"/>
                <w:sz w:val="24"/>
              </w:rPr>
              <w:t>1000元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639" w:type="dxa"/>
            <w:vMerge w:val="restart"/>
            <w:tcBorders>
              <w:top w:val="single" w:color="auto" w:sz="6" w:space="0"/>
              <w:left w:val="single" w:color="auto" w:sz="12" w:space="0"/>
              <w:bottom w:val="single" w:color="auto" w:sz="12" w:space="0"/>
              <w:right w:val="single" w:color="auto" w:sz="6" w:space="0"/>
            </w:tcBorders>
            <w:textDirection w:val="tbRlV"/>
            <w:vAlign w:val="center"/>
          </w:tcPr>
          <w:p>
            <w:pPr>
              <w:pStyle w:val="28"/>
              <w:widowControl/>
              <w:spacing w:line="360" w:lineRule="auto"/>
              <w:jc w:val="center"/>
              <w:rPr>
                <w:rFonts w:ascii="宋体" w:hAnsi="宋体" w:eastAsia="宋体"/>
                <w:sz w:val="24"/>
              </w:rPr>
            </w:pPr>
            <w:r>
              <w:rPr>
                <w:rFonts w:hint="eastAsia" w:ascii="宋体" w:hAnsi="宋体" w:eastAsia="宋体"/>
                <w:sz w:val="24"/>
              </w:rPr>
              <w:t>保存保管</w:t>
            </w: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12</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材料堆放场地不规范、达不到安全标准</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整改，</w:t>
            </w:r>
            <w:r>
              <w:rPr>
                <w:rFonts w:ascii="宋体" w:hAnsi="宋体" w:eastAsia="宋体"/>
                <w:sz w:val="24"/>
              </w:rPr>
              <w:t>2000元/处·项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639" w:type="dxa"/>
            <w:vMerge w:val="continue"/>
            <w:tcBorders>
              <w:top w:val="single" w:color="auto" w:sz="6" w:space="0"/>
              <w:left w:val="single" w:color="auto" w:sz="12" w:space="0"/>
              <w:bottom w:val="single" w:color="auto" w:sz="12"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13</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材料管理不善，失窃影响正常施工进度</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处罚</w:t>
            </w:r>
            <w:r>
              <w:rPr>
                <w:rFonts w:ascii="宋体" w:hAnsi="宋体" w:eastAsia="宋体"/>
                <w:sz w:val="24"/>
              </w:rPr>
              <w:t>1000元/天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639" w:type="dxa"/>
            <w:vMerge w:val="continue"/>
            <w:tcBorders>
              <w:top w:val="single" w:color="auto" w:sz="6" w:space="0"/>
              <w:left w:val="single" w:color="auto" w:sz="12" w:space="0"/>
              <w:bottom w:val="single" w:color="auto" w:sz="12"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14</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易燃易爆品存储违规，达不到安全标准</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整改，同时处罚</w:t>
            </w:r>
            <w:r>
              <w:rPr>
                <w:rFonts w:ascii="宋体" w:hAnsi="宋体" w:eastAsia="宋体"/>
                <w:sz w:val="24"/>
              </w:rPr>
              <w:t>3000~5000元/项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639" w:type="dxa"/>
            <w:vMerge w:val="continue"/>
            <w:tcBorders>
              <w:top w:val="single" w:color="auto" w:sz="6" w:space="0"/>
              <w:left w:val="single" w:color="auto" w:sz="12" w:space="0"/>
              <w:bottom w:val="single" w:color="auto" w:sz="12"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15</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仓库规模不足，造成材料腐蚀、变质，影响施工质量。</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处罚</w:t>
            </w:r>
            <w:r>
              <w:rPr>
                <w:rFonts w:ascii="宋体" w:hAnsi="宋体" w:eastAsia="宋体"/>
                <w:sz w:val="24"/>
              </w:rPr>
              <w:t>3000元/处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639" w:type="dxa"/>
            <w:vMerge w:val="continue"/>
            <w:tcBorders>
              <w:top w:val="single" w:color="auto" w:sz="6" w:space="0"/>
              <w:left w:val="single" w:color="auto" w:sz="12" w:space="0"/>
              <w:bottom w:val="single" w:color="auto" w:sz="12"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16</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未按材料堆放要求进行堆放、覆盖、入库。</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按要求存放，同时处罚</w:t>
            </w:r>
            <w:r>
              <w:rPr>
                <w:rFonts w:ascii="宋体" w:hAnsi="宋体" w:eastAsia="宋体"/>
                <w:sz w:val="24"/>
              </w:rPr>
              <w:t>2000元/次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7" w:hRule="atLeast"/>
          <w:jc w:val="center"/>
        </w:trPr>
        <w:tc>
          <w:tcPr>
            <w:tcW w:w="639" w:type="dxa"/>
            <w:vMerge w:val="continue"/>
            <w:tcBorders>
              <w:top w:val="single" w:color="auto" w:sz="6" w:space="0"/>
              <w:left w:val="single" w:color="auto" w:sz="12" w:space="0"/>
              <w:bottom w:val="single" w:color="auto" w:sz="12"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17</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受潮或受热易变质的材料没有做好防护。</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每次处罚</w:t>
            </w:r>
            <w:r>
              <w:rPr>
                <w:rFonts w:ascii="宋体" w:hAnsi="宋体" w:eastAsia="宋体"/>
                <w:sz w:val="24"/>
              </w:rPr>
              <w:t>2000元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639" w:type="dxa"/>
            <w:vMerge w:val="continue"/>
            <w:tcBorders>
              <w:top w:val="single" w:color="auto" w:sz="6" w:space="0"/>
              <w:left w:val="single" w:color="auto" w:sz="12" w:space="0"/>
              <w:bottom w:val="single" w:color="auto" w:sz="12"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18</w:t>
            </w:r>
          </w:p>
        </w:tc>
        <w:tc>
          <w:tcPr>
            <w:tcW w:w="6075" w:type="dxa"/>
            <w:tcBorders>
              <w:top w:val="single" w:color="auto" w:sz="6" w:space="0"/>
              <w:left w:val="single" w:color="auto" w:sz="6" w:space="0"/>
              <w:bottom w:val="single" w:color="auto" w:sz="6"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不同材料没有分开存放，标识不清。</w:t>
            </w:r>
          </w:p>
        </w:tc>
        <w:tc>
          <w:tcPr>
            <w:tcW w:w="2427" w:type="dxa"/>
            <w:tcBorders>
              <w:top w:val="single" w:color="auto" w:sz="6" w:space="0"/>
              <w:left w:val="single" w:color="auto" w:sz="6" w:space="0"/>
              <w:bottom w:val="single" w:color="auto" w:sz="6"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每次处罚</w:t>
            </w:r>
            <w:r>
              <w:rPr>
                <w:rFonts w:ascii="宋体" w:hAnsi="宋体" w:eastAsia="宋体"/>
                <w:sz w:val="24"/>
              </w:rPr>
              <w:t>1000元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639" w:type="dxa"/>
            <w:vMerge w:val="continue"/>
            <w:tcBorders>
              <w:top w:val="single" w:color="auto" w:sz="6" w:space="0"/>
              <w:left w:val="single" w:color="auto" w:sz="12" w:space="0"/>
              <w:bottom w:val="single" w:color="auto" w:sz="12" w:space="0"/>
              <w:right w:val="single" w:color="auto" w:sz="6" w:space="0"/>
            </w:tcBorders>
            <w:vAlign w:val="center"/>
          </w:tcPr>
          <w:p>
            <w:pPr>
              <w:pStyle w:val="28"/>
              <w:widowControl/>
              <w:jc w:val="left"/>
              <w:rPr>
                <w:rFonts w:ascii="宋体" w:hAnsi="宋体" w:eastAsia="宋体"/>
                <w:sz w:val="24"/>
              </w:rPr>
            </w:pPr>
          </w:p>
        </w:tc>
        <w:tc>
          <w:tcPr>
            <w:tcW w:w="639" w:type="dxa"/>
            <w:tcBorders>
              <w:top w:val="single" w:color="auto" w:sz="6" w:space="0"/>
              <w:left w:val="single" w:color="auto" w:sz="6" w:space="0"/>
              <w:bottom w:val="single" w:color="auto" w:sz="12" w:space="0"/>
              <w:right w:val="single" w:color="auto" w:sz="6" w:space="0"/>
            </w:tcBorders>
            <w:vAlign w:val="center"/>
          </w:tcPr>
          <w:p>
            <w:pPr>
              <w:pStyle w:val="28"/>
              <w:widowControl/>
              <w:spacing w:line="360" w:lineRule="auto"/>
              <w:jc w:val="center"/>
              <w:rPr>
                <w:rFonts w:ascii="宋体" w:hAnsi="宋体" w:eastAsia="宋体"/>
                <w:sz w:val="24"/>
              </w:rPr>
            </w:pPr>
            <w:r>
              <w:rPr>
                <w:rFonts w:ascii="宋体" w:hAnsi="宋体" w:eastAsia="宋体"/>
                <w:sz w:val="24"/>
              </w:rPr>
              <w:t>19</w:t>
            </w:r>
          </w:p>
        </w:tc>
        <w:tc>
          <w:tcPr>
            <w:tcW w:w="6075" w:type="dxa"/>
            <w:tcBorders>
              <w:top w:val="single" w:color="auto" w:sz="6" w:space="0"/>
              <w:left w:val="single" w:color="auto" w:sz="6" w:space="0"/>
              <w:bottom w:val="single" w:color="auto" w:sz="12" w:space="0"/>
              <w:right w:val="single" w:color="auto" w:sz="6"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安全消防措施不到位，仓库标识不齐全，物资分类标牌不清或没有。</w:t>
            </w:r>
          </w:p>
        </w:tc>
        <w:tc>
          <w:tcPr>
            <w:tcW w:w="2427" w:type="dxa"/>
            <w:tcBorders>
              <w:top w:val="single" w:color="auto" w:sz="6" w:space="0"/>
              <w:left w:val="single" w:color="auto" w:sz="6" w:space="0"/>
              <w:bottom w:val="single" w:color="auto" w:sz="12" w:space="0"/>
              <w:right w:val="single" w:color="auto" w:sz="12" w:space="0"/>
            </w:tcBorders>
            <w:vAlign w:val="center"/>
          </w:tcPr>
          <w:p>
            <w:pPr>
              <w:pStyle w:val="28"/>
              <w:widowControl/>
              <w:spacing w:line="360" w:lineRule="auto"/>
              <w:rPr>
                <w:rFonts w:ascii="宋体" w:hAnsi="宋体" w:eastAsia="宋体"/>
                <w:sz w:val="24"/>
              </w:rPr>
            </w:pPr>
            <w:r>
              <w:rPr>
                <w:rFonts w:hint="eastAsia" w:ascii="宋体" w:hAnsi="宋体" w:eastAsia="宋体"/>
                <w:sz w:val="24"/>
              </w:rPr>
              <w:t>处罚</w:t>
            </w:r>
            <w:r>
              <w:rPr>
                <w:rFonts w:ascii="宋体" w:hAnsi="宋体" w:eastAsia="宋体"/>
                <w:sz w:val="24"/>
              </w:rPr>
              <w:t>1000-2000元</w:t>
            </w:r>
          </w:p>
        </w:tc>
      </w:tr>
    </w:tbl>
    <w:p>
      <w:pPr>
        <w:pStyle w:val="28"/>
        <w:widowControl/>
        <w:spacing w:line="360" w:lineRule="auto"/>
        <w:rPr>
          <w:rFonts w:ascii="宋体" w:hAnsi="宋体" w:eastAsia="宋体"/>
          <w:sz w:val="24"/>
        </w:rPr>
      </w:pPr>
      <w:r>
        <w:rPr>
          <w:rFonts w:ascii="宋体" w:hAnsi="宋体" w:eastAsia="宋体"/>
          <w:sz w:val="24"/>
        </w:rPr>
        <w:br w:type="page"/>
      </w:r>
      <w:r>
        <w:rPr>
          <w:rFonts w:hint="eastAsia" w:ascii="宋体" w:hAnsi="宋体" w:eastAsia="宋体"/>
          <w:b/>
          <w:bCs/>
        </w:rPr>
        <w:t>附件</w:t>
      </w:r>
      <w:r>
        <w:rPr>
          <w:rFonts w:ascii="宋体" w:hAnsi="宋体" w:eastAsia="宋体"/>
          <w:b/>
          <w:bCs/>
        </w:rPr>
        <w:t>7</w:t>
      </w:r>
    </w:p>
    <w:p>
      <w:pPr>
        <w:pStyle w:val="28"/>
        <w:widowControl/>
        <w:spacing w:line="360" w:lineRule="auto"/>
        <w:jc w:val="center"/>
        <w:rPr>
          <w:rFonts w:ascii="宋体" w:hAnsi="宋体" w:eastAsia="宋体"/>
          <w:sz w:val="24"/>
        </w:rPr>
      </w:pPr>
      <w:r>
        <w:rPr>
          <w:rFonts w:hint="eastAsia" w:ascii="宋体" w:hAnsi="宋体" w:eastAsia="宋体"/>
          <w:sz w:val="24"/>
        </w:rPr>
        <w:t>安全生产违章处罚标准</w:t>
      </w:r>
    </w:p>
    <w:p>
      <w:pPr>
        <w:pStyle w:val="28"/>
        <w:widowControl/>
        <w:spacing w:line="360" w:lineRule="auto"/>
        <w:rPr>
          <w:rFonts w:ascii="宋体" w:hAnsi="宋体" w:eastAsia="宋体"/>
          <w:sz w:val="24"/>
        </w:rPr>
      </w:pPr>
      <w:r>
        <w:rPr>
          <w:rFonts w:hint="eastAsia" w:ascii="宋体" w:hAnsi="宋体" w:eastAsia="宋体"/>
          <w:sz w:val="24"/>
        </w:rPr>
        <w:t>一、违章的分类</w:t>
      </w:r>
    </w:p>
    <w:p>
      <w:pPr>
        <w:pStyle w:val="28"/>
        <w:widowControl/>
        <w:spacing w:line="360" w:lineRule="auto"/>
        <w:rPr>
          <w:rFonts w:ascii="宋体" w:hAnsi="宋体" w:eastAsia="宋体"/>
          <w:sz w:val="24"/>
        </w:rPr>
      </w:pPr>
      <w:r>
        <w:rPr>
          <w:rFonts w:hint="eastAsia" w:ascii="宋体" w:hAnsi="宋体" w:eastAsia="宋体"/>
          <w:sz w:val="24"/>
        </w:rPr>
        <w:t>（一）作业性违章：指在施工过程中，施工人员个人由于不遵守工程建设安全操作规程、安全管理规定、安全管理制度、安全施工措施等所出现的一切不安全行为。作业性违章主要责任者是施工人员本人，但承包人负有管理责任。</w:t>
      </w:r>
    </w:p>
    <w:p>
      <w:pPr>
        <w:pStyle w:val="28"/>
        <w:widowControl/>
        <w:spacing w:line="360" w:lineRule="auto"/>
        <w:rPr>
          <w:rFonts w:ascii="宋体" w:hAnsi="宋体" w:eastAsia="宋体"/>
          <w:sz w:val="24"/>
        </w:rPr>
      </w:pPr>
      <w:r>
        <w:rPr>
          <w:rFonts w:hint="eastAsia" w:ascii="宋体" w:hAnsi="宋体" w:eastAsia="宋体"/>
          <w:sz w:val="24"/>
        </w:rPr>
        <w:t>（二）装置性违章：指施工现场的环境、设备、设施及工器具，出现不符合工程建设安全操作规程、安全管理规定的一切不安全状态，其主要责任者是管理人员、设备（或设施）的主人或直接领导者。</w:t>
      </w:r>
    </w:p>
    <w:p>
      <w:pPr>
        <w:pStyle w:val="28"/>
        <w:widowControl/>
        <w:spacing w:line="360" w:lineRule="auto"/>
        <w:rPr>
          <w:rFonts w:ascii="宋体" w:hAnsi="宋体" w:eastAsia="宋体"/>
          <w:sz w:val="24"/>
        </w:rPr>
      </w:pPr>
      <w:r>
        <w:rPr>
          <w:rFonts w:hint="eastAsia" w:ascii="宋体" w:hAnsi="宋体" w:eastAsia="宋体"/>
          <w:sz w:val="24"/>
        </w:rPr>
        <w:t>（三）指挥性违章：指各级领导直至施工负责人，违反安全法律、法规、法令和保证人身设备安全的技术措施、安全措施进行劳动组织与指挥的行为，其主要责任者是指挥者本人。</w:t>
      </w:r>
    </w:p>
    <w:p>
      <w:pPr>
        <w:pStyle w:val="28"/>
        <w:widowControl/>
        <w:spacing w:line="360" w:lineRule="auto"/>
        <w:rPr>
          <w:rFonts w:ascii="宋体" w:hAnsi="宋体" w:eastAsia="宋体"/>
          <w:sz w:val="24"/>
        </w:rPr>
      </w:pPr>
      <w:r>
        <w:rPr>
          <w:rFonts w:hint="eastAsia" w:ascii="宋体" w:hAnsi="宋体" w:eastAsia="宋体"/>
          <w:sz w:val="24"/>
        </w:rPr>
        <w:t>（四）文明施工违章：指在施工过程中，不遵守工程建设文明施工规定的一切不文明施工行为，其主要责任人或是指挥者、或是管理人员、或是操作者（在事实调查清楚后确定）。</w:t>
      </w:r>
    </w:p>
    <w:p>
      <w:pPr>
        <w:pStyle w:val="28"/>
        <w:widowControl/>
        <w:spacing w:line="360" w:lineRule="auto"/>
        <w:rPr>
          <w:rFonts w:ascii="宋体" w:hAnsi="宋体" w:eastAsia="宋体"/>
          <w:sz w:val="24"/>
        </w:rPr>
      </w:pPr>
      <w:r>
        <w:rPr>
          <w:rFonts w:hint="eastAsia" w:ascii="宋体" w:hAnsi="宋体" w:eastAsia="宋体"/>
          <w:sz w:val="24"/>
        </w:rPr>
        <w:t>（五）制度性违章：指未严格落实广东省公路工程“平安工地”建设基本要求的，包括各项安全制度建设不健全或无针对性；安全责任体系不健全；危险性较大专项施工方案是否组织论证、审查，安全专项方案是否上报、审查；施工人员安全教育培训、交底是否到位；安全防护用品发放是否到位；安全生产管理三类人员、特种作业人员是否持证上岗；安全检查及隐患排查治理是否到位；安全专项经费是否专款专用等。</w:t>
      </w:r>
    </w:p>
    <w:p>
      <w:pPr>
        <w:pStyle w:val="28"/>
        <w:widowControl/>
        <w:spacing w:line="360" w:lineRule="auto"/>
        <w:rPr>
          <w:rFonts w:ascii="宋体" w:hAnsi="宋体" w:eastAsia="宋体"/>
          <w:sz w:val="24"/>
        </w:rPr>
      </w:pPr>
      <w:r>
        <w:rPr>
          <w:rFonts w:hint="eastAsia" w:ascii="宋体" w:hAnsi="宋体" w:eastAsia="宋体"/>
          <w:sz w:val="24"/>
        </w:rPr>
        <w:t>二、违章定性和查处</w:t>
      </w:r>
    </w:p>
    <w:p>
      <w:pPr>
        <w:pStyle w:val="28"/>
        <w:widowControl/>
        <w:spacing w:line="360" w:lineRule="auto"/>
        <w:rPr>
          <w:rFonts w:ascii="宋体" w:hAnsi="宋体" w:eastAsia="宋体"/>
          <w:sz w:val="24"/>
        </w:rPr>
      </w:pPr>
      <w:r>
        <w:rPr>
          <w:rFonts w:hint="eastAsia" w:ascii="宋体" w:hAnsi="宋体" w:eastAsia="宋体"/>
          <w:sz w:val="24"/>
        </w:rPr>
        <w:t>（一）作业性违章、装置性违章和指挥性违章，不论发生或是未遂都要同样重视，都要按照“四不放过”原则进行调查分析，教育有关责任人并制定相应整改措施和防范措施。</w:t>
      </w:r>
    </w:p>
    <w:p>
      <w:pPr>
        <w:pStyle w:val="28"/>
        <w:widowControl/>
        <w:spacing w:line="360" w:lineRule="auto"/>
        <w:rPr>
          <w:rFonts w:ascii="宋体" w:hAnsi="宋体" w:eastAsia="宋体"/>
          <w:sz w:val="24"/>
        </w:rPr>
      </w:pPr>
      <w:r>
        <w:rPr>
          <w:rFonts w:hint="eastAsia" w:ascii="宋体" w:hAnsi="宋体" w:eastAsia="宋体"/>
          <w:sz w:val="24"/>
        </w:rPr>
        <w:t>（二）对于安全设施、装备等不能满足安全施工要求以及无安全施工措施和未经交底的施工项目，施工人员有权拒绝施工，并向有关上级领导报告。</w:t>
      </w:r>
    </w:p>
    <w:p>
      <w:pPr>
        <w:pStyle w:val="28"/>
        <w:widowControl/>
        <w:spacing w:line="360" w:lineRule="auto"/>
        <w:rPr>
          <w:rFonts w:ascii="宋体" w:hAnsi="宋体" w:eastAsia="宋体"/>
          <w:sz w:val="24"/>
        </w:rPr>
      </w:pPr>
      <w:r>
        <w:rPr>
          <w:rFonts w:hint="eastAsia" w:ascii="宋体" w:hAnsi="宋体" w:eastAsia="宋体"/>
          <w:sz w:val="24"/>
        </w:rPr>
        <w:t>（三）凡施工中有了技术措施和安全措施，因领导不予以安排而产生的装置性违章应定性为指挥性违章，指挥性违章的责任者是指挥者本人，但作为下属，明知是违章指挥而不抵制，也应负同等责任。</w:t>
      </w:r>
    </w:p>
    <w:p>
      <w:pPr>
        <w:pStyle w:val="28"/>
        <w:widowControl/>
        <w:spacing w:line="360" w:lineRule="auto"/>
        <w:rPr>
          <w:rFonts w:ascii="宋体" w:hAnsi="宋体" w:eastAsia="宋体"/>
          <w:sz w:val="24"/>
        </w:rPr>
      </w:pPr>
      <w:r>
        <w:rPr>
          <w:rFonts w:hint="eastAsia" w:ascii="宋体" w:hAnsi="宋体" w:eastAsia="宋体"/>
          <w:sz w:val="24"/>
        </w:rPr>
        <w:t>（四）查禁违章必须遵守本实施细则，不得随意变更处罚标准，做到实事求是，严格执法，铁面无私。</w:t>
      </w:r>
    </w:p>
    <w:p>
      <w:pPr>
        <w:pStyle w:val="28"/>
        <w:widowControl/>
        <w:spacing w:line="360" w:lineRule="auto"/>
        <w:rPr>
          <w:rFonts w:ascii="宋体" w:hAnsi="宋体" w:eastAsia="宋体"/>
          <w:sz w:val="24"/>
        </w:rPr>
      </w:pPr>
      <w:r>
        <w:rPr>
          <w:rFonts w:hint="eastAsia" w:ascii="宋体" w:hAnsi="宋体" w:eastAsia="宋体"/>
          <w:sz w:val="24"/>
        </w:rPr>
        <w:t>三、违章处罚标准</w:t>
      </w:r>
    </w:p>
    <w:p>
      <w:pPr>
        <w:pStyle w:val="28"/>
        <w:widowControl/>
        <w:spacing w:line="360" w:lineRule="auto"/>
        <w:rPr>
          <w:rFonts w:ascii="宋体" w:hAnsi="宋体" w:eastAsia="宋体"/>
          <w:sz w:val="24"/>
        </w:rPr>
      </w:pPr>
      <w:r>
        <w:rPr>
          <w:rFonts w:hint="eastAsia" w:ascii="宋体" w:hAnsi="宋体" w:eastAsia="宋体"/>
          <w:sz w:val="24"/>
        </w:rPr>
        <w:t>（一）凡有下列行为（作业性违章）之一者，每人每次罚款</w:t>
      </w:r>
      <w:r>
        <w:rPr>
          <w:rFonts w:ascii="宋体" w:hAnsi="宋体" w:eastAsia="宋体"/>
          <w:sz w:val="24"/>
        </w:rPr>
        <w:t>1000元～2000元（除部分项目罚款金额不在该范围内）：</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1）一般施工现场</w:t>
      </w:r>
    </w:p>
    <w:p>
      <w:pPr>
        <w:pStyle w:val="28"/>
        <w:widowControl/>
        <w:spacing w:line="360" w:lineRule="auto"/>
        <w:outlineLvl w:val="1"/>
        <w:rPr>
          <w:rFonts w:ascii="宋体" w:hAnsi="宋体" w:eastAsia="宋体"/>
          <w:sz w:val="24"/>
        </w:rPr>
      </w:pPr>
      <w:bookmarkStart w:id="267" w:name="_Toc25656"/>
      <w:r>
        <w:rPr>
          <w:rFonts w:ascii="宋体" w:hAnsi="宋体" w:eastAsia="宋体"/>
          <w:sz w:val="24"/>
        </w:rPr>
        <w:t>1、进入施工现场不戴安全帽或不系帽带，坐、踢安全帽。</w:t>
      </w:r>
      <w:bookmarkEnd w:id="267"/>
    </w:p>
    <w:p>
      <w:pPr>
        <w:pStyle w:val="28"/>
        <w:widowControl/>
        <w:spacing w:line="360" w:lineRule="auto"/>
        <w:rPr>
          <w:rFonts w:ascii="宋体" w:hAnsi="宋体" w:eastAsia="宋体"/>
          <w:sz w:val="24"/>
        </w:rPr>
      </w:pPr>
      <w:r>
        <w:rPr>
          <w:rFonts w:ascii="宋体" w:hAnsi="宋体" w:eastAsia="宋体"/>
          <w:sz w:val="24"/>
        </w:rPr>
        <w:t>2、进入施工现场穿高跟鞋、露脚趾的凉鞋、拖鞋及裙子、短裤、背心或裸背、长发披肩。</w:t>
      </w:r>
    </w:p>
    <w:p>
      <w:pPr>
        <w:pStyle w:val="28"/>
        <w:widowControl/>
        <w:spacing w:line="360" w:lineRule="auto"/>
        <w:rPr>
          <w:rFonts w:ascii="宋体" w:hAnsi="宋体" w:eastAsia="宋体"/>
          <w:sz w:val="24"/>
        </w:rPr>
      </w:pPr>
      <w:r>
        <w:rPr>
          <w:rFonts w:ascii="宋体" w:hAnsi="宋体" w:eastAsia="宋体"/>
          <w:sz w:val="24"/>
        </w:rPr>
        <w:t>3、施工人员或管理人员酒后进入施工现场。</w:t>
      </w:r>
    </w:p>
    <w:p>
      <w:pPr>
        <w:pStyle w:val="28"/>
        <w:widowControl/>
        <w:spacing w:line="360" w:lineRule="auto"/>
        <w:rPr>
          <w:rFonts w:ascii="宋体" w:hAnsi="宋体" w:eastAsia="宋体"/>
          <w:sz w:val="24"/>
        </w:rPr>
      </w:pPr>
      <w:r>
        <w:rPr>
          <w:rFonts w:ascii="宋体" w:hAnsi="宋体" w:eastAsia="宋体"/>
          <w:sz w:val="24"/>
        </w:rPr>
        <w:t>4、随意移动、损坏、拆除安全设施或移作它用。</w:t>
      </w:r>
    </w:p>
    <w:p>
      <w:pPr>
        <w:pStyle w:val="28"/>
        <w:widowControl/>
        <w:spacing w:line="360" w:lineRule="auto"/>
        <w:rPr>
          <w:rFonts w:ascii="宋体" w:hAnsi="宋体" w:eastAsia="宋体"/>
          <w:sz w:val="24"/>
        </w:rPr>
      </w:pPr>
      <w:r>
        <w:rPr>
          <w:rFonts w:ascii="宋体" w:hAnsi="宋体" w:eastAsia="宋体"/>
          <w:sz w:val="24"/>
        </w:rPr>
        <w:t>5、擅自拆除上下爬梯、孔洞盖板、栏杆、隔离层等防护设施，或经批准拆除防护设施但未设明显警告标志以及未及时恢复。</w:t>
      </w:r>
    </w:p>
    <w:p>
      <w:pPr>
        <w:pStyle w:val="28"/>
        <w:widowControl/>
        <w:spacing w:line="360" w:lineRule="auto"/>
        <w:rPr>
          <w:rFonts w:ascii="宋体" w:hAnsi="宋体" w:eastAsia="宋体"/>
          <w:sz w:val="24"/>
        </w:rPr>
      </w:pPr>
      <w:r>
        <w:rPr>
          <w:rFonts w:ascii="宋体" w:hAnsi="宋体" w:eastAsia="宋体"/>
          <w:sz w:val="24"/>
        </w:rPr>
        <w:t>6、施工现场随意用明火取暖。</w:t>
      </w:r>
    </w:p>
    <w:p>
      <w:pPr>
        <w:pStyle w:val="28"/>
        <w:widowControl/>
        <w:spacing w:line="360" w:lineRule="auto"/>
        <w:rPr>
          <w:rFonts w:ascii="宋体" w:hAnsi="宋体" w:eastAsia="宋体"/>
          <w:sz w:val="24"/>
        </w:rPr>
      </w:pPr>
      <w:r>
        <w:rPr>
          <w:rFonts w:ascii="宋体" w:hAnsi="宋体" w:eastAsia="宋体"/>
          <w:sz w:val="24"/>
        </w:rPr>
        <w:t>7、现场安全员不在场。</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2）施工现场临时用电</w:t>
      </w:r>
    </w:p>
    <w:p>
      <w:pPr>
        <w:pStyle w:val="28"/>
        <w:widowControl/>
        <w:spacing w:line="360" w:lineRule="auto"/>
        <w:rPr>
          <w:rFonts w:ascii="宋体" w:hAnsi="宋体" w:eastAsia="宋体"/>
          <w:sz w:val="24"/>
        </w:rPr>
      </w:pPr>
      <w:r>
        <w:rPr>
          <w:rFonts w:ascii="宋体" w:hAnsi="宋体" w:eastAsia="宋体"/>
          <w:sz w:val="24"/>
        </w:rPr>
        <w:t>1、非电工私拉乱接电源。</w:t>
      </w:r>
    </w:p>
    <w:p>
      <w:pPr>
        <w:pStyle w:val="28"/>
        <w:widowControl/>
        <w:spacing w:line="360" w:lineRule="auto"/>
        <w:rPr>
          <w:rFonts w:ascii="宋体" w:hAnsi="宋体" w:eastAsia="宋体"/>
          <w:sz w:val="24"/>
        </w:rPr>
      </w:pPr>
      <w:r>
        <w:rPr>
          <w:rFonts w:ascii="宋体" w:hAnsi="宋体" w:eastAsia="宋体"/>
          <w:sz w:val="24"/>
        </w:rPr>
        <w:t>2、将电源线钩挂在闸刀上或者直接插入插座内使用。</w:t>
      </w:r>
    </w:p>
    <w:p>
      <w:pPr>
        <w:pStyle w:val="28"/>
        <w:widowControl/>
        <w:spacing w:line="360" w:lineRule="auto"/>
        <w:rPr>
          <w:rFonts w:ascii="宋体" w:hAnsi="宋体" w:eastAsia="宋体"/>
          <w:sz w:val="24"/>
        </w:rPr>
      </w:pPr>
      <w:r>
        <w:rPr>
          <w:rFonts w:ascii="宋体" w:hAnsi="宋体" w:eastAsia="宋体"/>
          <w:sz w:val="24"/>
        </w:rPr>
        <w:t>3、使用的手持电动工具无漏电保护器。</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3）高处作业及脚手架</w:t>
      </w:r>
    </w:p>
    <w:p>
      <w:pPr>
        <w:pStyle w:val="28"/>
        <w:widowControl/>
        <w:spacing w:line="360" w:lineRule="auto"/>
        <w:rPr>
          <w:rFonts w:ascii="宋体" w:hAnsi="宋体" w:eastAsia="宋体"/>
          <w:sz w:val="24"/>
        </w:rPr>
      </w:pPr>
      <w:r>
        <w:rPr>
          <w:rFonts w:ascii="宋体" w:hAnsi="宋体" w:eastAsia="宋体"/>
          <w:sz w:val="24"/>
        </w:rPr>
        <w:t>1、高处作业未按规定要求系挂安全带，或使用破损不符合要求的安全带。</w:t>
      </w:r>
    </w:p>
    <w:p>
      <w:pPr>
        <w:pStyle w:val="28"/>
        <w:widowControl/>
        <w:spacing w:line="360" w:lineRule="auto"/>
        <w:rPr>
          <w:rFonts w:ascii="宋体" w:hAnsi="宋体" w:eastAsia="宋体"/>
          <w:sz w:val="24"/>
        </w:rPr>
      </w:pPr>
      <w:r>
        <w:rPr>
          <w:rFonts w:ascii="宋体" w:hAnsi="宋体" w:eastAsia="宋体"/>
          <w:sz w:val="24"/>
        </w:rPr>
        <w:t>2、高处作业的工器具不系保险绳、无防坠落措施。</w:t>
      </w:r>
    </w:p>
    <w:p>
      <w:pPr>
        <w:pStyle w:val="28"/>
        <w:widowControl/>
        <w:spacing w:line="360" w:lineRule="auto"/>
        <w:rPr>
          <w:rFonts w:ascii="宋体" w:hAnsi="宋体" w:eastAsia="宋体"/>
          <w:sz w:val="24"/>
        </w:rPr>
      </w:pPr>
      <w:r>
        <w:rPr>
          <w:rFonts w:ascii="宋体" w:hAnsi="宋体" w:eastAsia="宋体"/>
          <w:sz w:val="24"/>
        </w:rPr>
        <w:t>3、高处作业时，施工材料、工器具等放在临空面或孔洞附近。</w:t>
      </w:r>
    </w:p>
    <w:p>
      <w:pPr>
        <w:pStyle w:val="28"/>
        <w:widowControl/>
        <w:spacing w:line="360" w:lineRule="auto"/>
        <w:rPr>
          <w:rFonts w:ascii="宋体" w:hAnsi="宋体" w:eastAsia="宋体"/>
          <w:sz w:val="24"/>
        </w:rPr>
      </w:pPr>
      <w:r>
        <w:rPr>
          <w:rFonts w:ascii="宋体" w:hAnsi="宋体" w:eastAsia="宋体"/>
          <w:sz w:val="24"/>
        </w:rPr>
        <w:t>4、在高处进行追跑、打闹、打架等。</w:t>
      </w:r>
    </w:p>
    <w:p>
      <w:pPr>
        <w:pStyle w:val="28"/>
        <w:widowControl/>
        <w:spacing w:line="360" w:lineRule="auto"/>
        <w:rPr>
          <w:rFonts w:ascii="宋体" w:hAnsi="宋体" w:eastAsia="宋体"/>
          <w:sz w:val="24"/>
        </w:rPr>
      </w:pPr>
      <w:r>
        <w:rPr>
          <w:rFonts w:ascii="宋体" w:hAnsi="宋体" w:eastAsia="宋体"/>
          <w:sz w:val="24"/>
        </w:rPr>
        <w:t>5、攀爬绳梯、钢爬梯、脚手架立杆等或攀登任意高层构筑物、攀爬钢结构立柱、斜撑或在横梁上行走，对上述行为无可靠的防坠落措施。</w:t>
      </w:r>
    </w:p>
    <w:p>
      <w:pPr>
        <w:pStyle w:val="28"/>
        <w:widowControl/>
        <w:spacing w:line="360" w:lineRule="auto"/>
        <w:rPr>
          <w:rFonts w:ascii="宋体" w:hAnsi="宋体" w:eastAsia="宋体"/>
          <w:sz w:val="24"/>
        </w:rPr>
      </w:pPr>
      <w:r>
        <w:rPr>
          <w:rFonts w:ascii="宋体" w:hAnsi="宋体" w:eastAsia="宋体"/>
          <w:sz w:val="24"/>
        </w:rPr>
        <w:t>6、在高处平台、孔洞边缘、安全网内休息或倚坐栏杆。</w:t>
      </w:r>
    </w:p>
    <w:p>
      <w:pPr>
        <w:pStyle w:val="28"/>
        <w:widowControl/>
        <w:spacing w:line="360" w:lineRule="auto"/>
        <w:rPr>
          <w:rFonts w:ascii="宋体" w:hAnsi="宋体" w:eastAsia="宋体"/>
          <w:sz w:val="24"/>
        </w:rPr>
      </w:pPr>
      <w:r>
        <w:rPr>
          <w:rFonts w:ascii="宋体" w:hAnsi="宋体" w:eastAsia="宋体"/>
          <w:sz w:val="24"/>
        </w:rPr>
        <w:t>7、无视安全环境，在高边坡下、高空作业区内休息、睡觉的。</w:t>
      </w:r>
    </w:p>
    <w:p>
      <w:pPr>
        <w:pStyle w:val="28"/>
        <w:widowControl/>
        <w:spacing w:line="360" w:lineRule="auto"/>
        <w:rPr>
          <w:rFonts w:ascii="宋体" w:hAnsi="宋体" w:eastAsia="宋体"/>
          <w:sz w:val="24"/>
        </w:rPr>
      </w:pPr>
      <w:r>
        <w:rPr>
          <w:rFonts w:ascii="宋体" w:hAnsi="宋体" w:eastAsia="宋体"/>
          <w:sz w:val="24"/>
        </w:rPr>
        <w:t>8、掉在安全网或防护棚内的杂物，在收工前未及时清理。</w:t>
      </w:r>
    </w:p>
    <w:p>
      <w:pPr>
        <w:pStyle w:val="28"/>
        <w:widowControl/>
        <w:spacing w:line="360" w:lineRule="auto"/>
        <w:rPr>
          <w:rFonts w:ascii="宋体" w:hAnsi="宋体" w:eastAsia="宋体"/>
          <w:sz w:val="24"/>
        </w:rPr>
      </w:pPr>
      <w:r>
        <w:rPr>
          <w:rFonts w:ascii="宋体" w:hAnsi="宋体" w:eastAsia="宋体"/>
          <w:sz w:val="24"/>
        </w:rPr>
        <w:t>9、高空拆模板未按相关要求进行，运到地面的模板，堆放杂乱。</w:t>
      </w:r>
    </w:p>
    <w:p>
      <w:pPr>
        <w:pStyle w:val="28"/>
        <w:widowControl/>
        <w:spacing w:line="360" w:lineRule="auto"/>
        <w:rPr>
          <w:rFonts w:ascii="宋体" w:hAnsi="宋体" w:eastAsia="宋体"/>
          <w:sz w:val="24"/>
        </w:rPr>
      </w:pPr>
      <w:r>
        <w:rPr>
          <w:rFonts w:ascii="宋体" w:hAnsi="宋体" w:eastAsia="宋体"/>
          <w:sz w:val="24"/>
        </w:rPr>
        <w:t>10、非专业架子工人搭、拆脚手架。</w:t>
      </w:r>
    </w:p>
    <w:p>
      <w:pPr>
        <w:pStyle w:val="28"/>
        <w:widowControl/>
        <w:spacing w:line="360" w:lineRule="auto"/>
        <w:rPr>
          <w:rFonts w:ascii="宋体" w:hAnsi="宋体" w:eastAsia="宋体"/>
          <w:sz w:val="24"/>
        </w:rPr>
      </w:pPr>
      <w:r>
        <w:rPr>
          <w:rFonts w:ascii="宋体" w:hAnsi="宋体" w:eastAsia="宋体"/>
          <w:sz w:val="24"/>
        </w:rPr>
        <w:t>11、在不合格的脚手架或不牢固的构件上作业。</w:t>
      </w:r>
    </w:p>
    <w:p>
      <w:pPr>
        <w:pStyle w:val="28"/>
        <w:widowControl/>
        <w:spacing w:line="360" w:lineRule="auto"/>
        <w:rPr>
          <w:rFonts w:ascii="宋体" w:hAnsi="宋体" w:eastAsia="宋体"/>
          <w:sz w:val="24"/>
        </w:rPr>
      </w:pPr>
      <w:r>
        <w:rPr>
          <w:rFonts w:ascii="宋体" w:hAnsi="宋体" w:eastAsia="宋体"/>
          <w:sz w:val="24"/>
        </w:rPr>
        <w:t>12、不按规程、规定拆除脚手架，拆除时上下同时作业或将脚手架整体推倒。</w:t>
      </w:r>
    </w:p>
    <w:p>
      <w:pPr>
        <w:pStyle w:val="28"/>
        <w:widowControl/>
        <w:spacing w:line="360" w:lineRule="auto"/>
        <w:outlineLvl w:val="1"/>
        <w:rPr>
          <w:rFonts w:ascii="宋体" w:hAnsi="宋体" w:eastAsia="宋体"/>
          <w:sz w:val="24"/>
        </w:rPr>
      </w:pPr>
      <w:bookmarkStart w:id="268" w:name="_Toc2074"/>
      <w:r>
        <w:rPr>
          <w:rFonts w:ascii="宋体" w:hAnsi="宋体" w:eastAsia="宋体"/>
          <w:sz w:val="24"/>
        </w:rPr>
        <w:t>13、使用不规范的梯子或损坏严重的梯子，或梯脚无防滑措施。</w:t>
      </w:r>
      <w:bookmarkEnd w:id="268"/>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4）车辆、机械操作</w:t>
      </w:r>
    </w:p>
    <w:p>
      <w:pPr>
        <w:pStyle w:val="28"/>
        <w:widowControl/>
        <w:spacing w:line="360" w:lineRule="auto"/>
        <w:outlineLvl w:val="1"/>
        <w:rPr>
          <w:rFonts w:ascii="宋体" w:hAnsi="宋体" w:eastAsia="宋体"/>
          <w:sz w:val="24"/>
        </w:rPr>
      </w:pPr>
      <w:bookmarkStart w:id="269" w:name="_Toc26664"/>
      <w:r>
        <w:rPr>
          <w:rFonts w:ascii="宋体" w:hAnsi="宋体" w:eastAsia="宋体"/>
          <w:sz w:val="24"/>
        </w:rPr>
        <w:t>1、无证操作、驾驶各种机动车辆，带病驾车、超载或酒后驾车。</w:t>
      </w:r>
      <w:bookmarkEnd w:id="269"/>
    </w:p>
    <w:p>
      <w:pPr>
        <w:pStyle w:val="28"/>
        <w:widowControl/>
        <w:spacing w:line="360" w:lineRule="auto"/>
        <w:rPr>
          <w:rFonts w:ascii="宋体" w:hAnsi="宋体" w:eastAsia="宋体"/>
          <w:sz w:val="24"/>
        </w:rPr>
      </w:pPr>
      <w:r>
        <w:rPr>
          <w:rFonts w:ascii="宋体" w:hAnsi="宋体" w:eastAsia="宋体"/>
          <w:sz w:val="24"/>
        </w:rPr>
        <w:t>2、非专业操作人员操作施工机具，非专业人员指挥起吊及非特种作业人员从事特种作业的。</w:t>
      </w:r>
    </w:p>
    <w:p>
      <w:pPr>
        <w:pStyle w:val="28"/>
        <w:widowControl/>
        <w:spacing w:line="360" w:lineRule="auto"/>
        <w:rPr>
          <w:rFonts w:ascii="宋体" w:hAnsi="宋体" w:eastAsia="宋体"/>
          <w:sz w:val="24"/>
        </w:rPr>
      </w:pPr>
      <w:r>
        <w:rPr>
          <w:rFonts w:ascii="宋体" w:hAnsi="宋体" w:eastAsia="宋体"/>
          <w:sz w:val="24"/>
        </w:rPr>
        <w:t>3、机动车驾驶室内超员、装载机铲斗内载人、翻斗车厢内载人、无安全栏杆的货车厢载人。</w:t>
      </w:r>
    </w:p>
    <w:p>
      <w:pPr>
        <w:pStyle w:val="28"/>
        <w:widowControl/>
        <w:spacing w:line="360" w:lineRule="auto"/>
        <w:rPr>
          <w:rFonts w:ascii="宋体" w:hAnsi="宋体" w:eastAsia="宋体"/>
          <w:sz w:val="24"/>
        </w:rPr>
      </w:pPr>
      <w:r>
        <w:rPr>
          <w:rFonts w:ascii="宋体" w:hAnsi="宋体" w:eastAsia="宋体"/>
          <w:sz w:val="24"/>
        </w:rPr>
        <w:t>4、大型机械操作人员在驾驶室内看报纸杂志或从事与工作无关的活动，或擅自脱岗。</w:t>
      </w:r>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5）起重、吊装作业</w:t>
      </w:r>
    </w:p>
    <w:p>
      <w:pPr>
        <w:pStyle w:val="28"/>
        <w:widowControl/>
        <w:spacing w:line="360" w:lineRule="auto"/>
        <w:outlineLvl w:val="1"/>
        <w:rPr>
          <w:rFonts w:ascii="宋体" w:hAnsi="宋体" w:eastAsia="宋体"/>
          <w:sz w:val="24"/>
        </w:rPr>
      </w:pPr>
      <w:bookmarkStart w:id="270" w:name="_Toc4176"/>
      <w:r>
        <w:rPr>
          <w:rFonts w:ascii="宋体" w:hAnsi="宋体" w:eastAsia="宋体"/>
          <w:sz w:val="24"/>
        </w:rPr>
        <w:t>1、起重工作无统一明确的指挥信号，盲目指挥。</w:t>
      </w:r>
      <w:bookmarkEnd w:id="270"/>
    </w:p>
    <w:p>
      <w:pPr>
        <w:pStyle w:val="28"/>
        <w:widowControl/>
        <w:spacing w:line="360" w:lineRule="auto"/>
        <w:rPr>
          <w:rFonts w:ascii="宋体" w:hAnsi="宋体" w:eastAsia="宋体"/>
          <w:sz w:val="24"/>
        </w:rPr>
      </w:pPr>
      <w:r>
        <w:rPr>
          <w:rFonts w:ascii="宋体" w:hAnsi="宋体" w:eastAsia="宋体"/>
          <w:sz w:val="24"/>
        </w:rPr>
        <w:t>2、起吊超过额定负荷的吊物且无措施或在指挥信号不明、重量不明的情况下起吊，起吊大件或不规则组件，未栓好用以牢固的溜绳。</w:t>
      </w:r>
    </w:p>
    <w:p>
      <w:pPr>
        <w:pStyle w:val="28"/>
        <w:widowControl/>
        <w:spacing w:line="360" w:lineRule="auto"/>
        <w:rPr>
          <w:rFonts w:ascii="宋体" w:hAnsi="宋体" w:eastAsia="宋体"/>
          <w:sz w:val="24"/>
        </w:rPr>
      </w:pPr>
      <w:r>
        <w:rPr>
          <w:rFonts w:ascii="宋体" w:hAnsi="宋体" w:eastAsia="宋体"/>
          <w:sz w:val="24"/>
        </w:rPr>
        <w:t>3、吊物捆扎、吊装方法不当，在吊物上堆放、悬挂零星物件，吊车吊重物直接进行加工作业。</w:t>
      </w:r>
    </w:p>
    <w:p>
      <w:pPr>
        <w:pStyle w:val="28"/>
        <w:widowControl/>
        <w:spacing w:line="360" w:lineRule="auto"/>
        <w:outlineLvl w:val="1"/>
        <w:rPr>
          <w:rFonts w:ascii="宋体" w:hAnsi="宋体" w:eastAsia="宋体"/>
          <w:sz w:val="24"/>
        </w:rPr>
      </w:pPr>
      <w:bookmarkStart w:id="271" w:name="_Toc31887"/>
      <w:r>
        <w:rPr>
          <w:rFonts w:ascii="宋体" w:hAnsi="宋体" w:eastAsia="宋体"/>
          <w:sz w:val="24"/>
        </w:rPr>
        <w:t>4、起吊较长易滑构件时采用兜吊的方式。</w:t>
      </w:r>
      <w:bookmarkEnd w:id="271"/>
    </w:p>
    <w:p>
      <w:pPr>
        <w:pStyle w:val="28"/>
        <w:widowControl/>
        <w:spacing w:line="360" w:lineRule="auto"/>
        <w:rPr>
          <w:rFonts w:ascii="宋体" w:hAnsi="宋体" w:eastAsia="宋体"/>
          <w:sz w:val="24"/>
        </w:rPr>
      </w:pPr>
      <w:r>
        <w:rPr>
          <w:rFonts w:ascii="宋体" w:hAnsi="宋体" w:eastAsia="宋体"/>
          <w:sz w:val="24"/>
        </w:rPr>
        <w:t>5、起重机工作完毕后，未及时摘除吊钩上的千斤绳并将吊钩升起，或切断电源。</w:t>
      </w:r>
    </w:p>
    <w:p>
      <w:pPr>
        <w:pStyle w:val="28"/>
        <w:widowControl/>
        <w:spacing w:line="360" w:lineRule="auto"/>
        <w:outlineLvl w:val="1"/>
        <w:rPr>
          <w:rFonts w:ascii="宋体" w:hAnsi="宋体" w:eastAsia="宋体"/>
          <w:sz w:val="24"/>
        </w:rPr>
      </w:pPr>
      <w:bookmarkStart w:id="272" w:name="_Toc4259"/>
      <w:r>
        <w:rPr>
          <w:rFonts w:ascii="宋体" w:hAnsi="宋体" w:eastAsia="宋体"/>
          <w:sz w:val="24"/>
        </w:rPr>
        <w:t>6、跨越或手扶正在运行的卷扬机及有关设备的钢丝绳。</w:t>
      </w:r>
      <w:bookmarkEnd w:id="272"/>
    </w:p>
    <w:p>
      <w:pPr>
        <w:pStyle w:val="28"/>
        <w:widowControl/>
        <w:spacing w:line="360" w:lineRule="auto"/>
        <w:rPr>
          <w:rFonts w:ascii="宋体" w:hAnsi="宋体" w:eastAsia="宋体"/>
          <w:sz w:val="24"/>
        </w:rPr>
      </w:pPr>
      <w:r>
        <w:rPr>
          <w:rFonts w:hint="eastAsia" w:ascii="宋体" w:hAnsi="宋体" w:eastAsia="宋体"/>
          <w:sz w:val="24"/>
        </w:rPr>
        <w:t>（</w:t>
      </w:r>
      <w:r>
        <w:rPr>
          <w:rFonts w:ascii="宋体" w:hAnsi="宋体" w:eastAsia="宋体"/>
          <w:sz w:val="24"/>
        </w:rPr>
        <w:t>6）施工现场消防</w:t>
      </w:r>
    </w:p>
    <w:p>
      <w:pPr>
        <w:pStyle w:val="28"/>
        <w:widowControl/>
        <w:spacing w:line="360" w:lineRule="auto"/>
        <w:rPr>
          <w:rFonts w:ascii="宋体" w:hAnsi="宋体" w:eastAsia="宋体"/>
          <w:sz w:val="24"/>
        </w:rPr>
      </w:pPr>
      <w:r>
        <w:rPr>
          <w:rFonts w:ascii="宋体" w:hAnsi="宋体" w:eastAsia="宋体"/>
          <w:sz w:val="24"/>
        </w:rPr>
        <w:t>1、焊接、切割工作前未清理周围的易燃物，工作结束后未检查清理遗留物，以致留下火种。</w:t>
      </w:r>
    </w:p>
    <w:p>
      <w:pPr>
        <w:pStyle w:val="28"/>
        <w:widowControl/>
        <w:spacing w:line="360" w:lineRule="auto"/>
        <w:rPr>
          <w:rFonts w:ascii="宋体" w:hAnsi="宋体" w:eastAsia="宋体"/>
          <w:sz w:val="24"/>
        </w:rPr>
      </w:pPr>
      <w:r>
        <w:rPr>
          <w:rFonts w:ascii="宋体" w:hAnsi="宋体" w:eastAsia="宋体"/>
          <w:sz w:val="24"/>
        </w:rPr>
        <w:t>2、焊接时未按要求放置乙炔瓶、氧气瓶的，现场无人管理。</w:t>
      </w:r>
    </w:p>
    <w:p>
      <w:pPr>
        <w:pStyle w:val="28"/>
        <w:widowControl/>
        <w:spacing w:line="360" w:lineRule="auto"/>
        <w:rPr>
          <w:rFonts w:ascii="宋体" w:hAnsi="宋体" w:eastAsia="宋体"/>
          <w:sz w:val="24"/>
        </w:rPr>
      </w:pPr>
      <w:r>
        <w:rPr>
          <w:rFonts w:ascii="宋体" w:hAnsi="宋体" w:eastAsia="宋体"/>
          <w:sz w:val="24"/>
        </w:rPr>
        <w:t>3、没有及时更换不能正常工作的乙炔瓶和氧气瓶的压力表。</w:t>
      </w:r>
    </w:p>
    <w:p>
      <w:pPr>
        <w:pStyle w:val="28"/>
        <w:widowControl/>
        <w:spacing w:line="360" w:lineRule="auto"/>
        <w:rPr>
          <w:rFonts w:ascii="宋体" w:hAnsi="宋体" w:eastAsia="宋体"/>
          <w:sz w:val="24"/>
        </w:rPr>
      </w:pPr>
      <w:r>
        <w:rPr>
          <w:rFonts w:ascii="宋体" w:hAnsi="宋体" w:eastAsia="宋体"/>
          <w:sz w:val="24"/>
        </w:rPr>
        <w:t>4、将点燃的焊、割工具挂在工件上或放在地面上，或作照明用。</w:t>
      </w:r>
    </w:p>
    <w:p>
      <w:pPr>
        <w:pStyle w:val="28"/>
        <w:widowControl/>
        <w:spacing w:line="360" w:lineRule="auto"/>
        <w:rPr>
          <w:rFonts w:ascii="宋体" w:hAnsi="宋体" w:eastAsia="宋体"/>
          <w:sz w:val="24"/>
        </w:rPr>
      </w:pPr>
      <w:r>
        <w:rPr>
          <w:rFonts w:ascii="宋体" w:hAnsi="宋体" w:eastAsia="宋体"/>
          <w:sz w:val="24"/>
        </w:rPr>
        <w:t>5、高处电、火焊作业，对下方的设备不采取防火隔离措施或在地板砖、网格栅等处施工未采取保护措施。</w:t>
      </w:r>
    </w:p>
    <w:p>
      <w:pPr>
        <w:pStyle w:val="28"/>
        <w:widowControl/>
        <w:spacing w:line="360" w:lineRule="auto"/>
        <w:rPr>
          <w:rFonts w:ascii="宋体" w:hAnsi="宋体" w:eastAsia="宋体"/>
          <w:sz w:val="24"/>
        </w:rPr>
      </w:pPr>
      <w:r>
        <w:rPr>
          <w:rFonts w:ascii="宋体" w:hAnsi="宋体" w:eastAsia="宋体"/>
          <w:sz w:val="24"/>
        </w:rPr>
        <w:t>6、在油料仓库、炸药库易燃易爆或禁火区域携带火种、吸烟、动用明火、穿带铁钉的鞋罚款5000元。</w:t>
      </w:r>
    </w:p>
    <w:p>
      <w:pPr>
        <w:pStyle w:val="28"/>
        <w:widowControl/>
        <w:spacing w:line="360" w:lineRule="auto"/>
        <w:rPr>
          <w:rFonts w:ascii="宋体" w:hAnsi="宋体" w:eastAsia="宋体"/>
          <w:sz w:val="24"/>
        </w:rPr>
      </w:pPr>
      <w:r>
        <w:rPr>
          <w:rFonts w:hint="eastAsia" w:ascii="宋体" w:hAnsi="宋体" w:eastAsia="宋体"/>
          <w:sz w:val="24"/>
        </w:rPr>
        <w:t>（二）凡有下列行为之一（装置性违章）者，每处罚款</w:t>
      </w:r>
      <w:r>
        <w:rPr>
          <w:rFonts w:ascii="宋体" w:hAnsi="宋体" w:eastAsia="宋体"/>
          <w:sz w:val="24"/>
        </w:rPr>
        <w:t>2000元～5000元：</w:t>
      </w:r>
    </w:p>
    <w:p>
      <w:pPr>
        <w:pStyle w:val="28"/>
        <w:widowControl/>
        <w:spacing w:line="360" w:lineRule="auto"/>
        <w:outlineLvl w:val="1"/>
        <w:rPr>
          <w:rFonts w:ascii="宋体" w:hAnsi="宋体" w:eastAsia="宋体"/>
          <w:sz w:val="24"/>
        </w:rPr>
      </w:pPr>
      <w:bookmarkStart w:id="273" w:name="_Toc29988"/>
      <w:r>
        <w:rPr>
          <w:rFonts w:ascii="宋体" w:hAnsi="宋体" w:eastAsia="宋体"/>
          <w:sz w:val="24"/>
        </w:rPr>
        <w:t>1、未按要求使用标准电杆、拉线。</w:t>
      </w:r>
      <w:bookmarkEnd w:id="273"/>
    </w:p>
    <w:p>
      <w:pPr>
        <w:pStyle w:val="28"/>
        <w:widowControl/>
        <w:spacing w:line="360" w:lineRule="auto"/>
        <w:rPr>
          <w:rFonts w:ascii="宋体" w:hAnsi="宋体" w:eastAsia="宋体"/>
          <w:sz w:val="24"/>
        </w:rPr>
      </w:pPr>
      <w:r>
        <w:rPr>
          <w:rFonts w:ascii="宋体" w:hAnsi="宋体" w:eastAsia="宋体"/>
          <w:sz w:val="24"/>
        </w:rPr>
        <w:t>2、未按要求安装使用标准配电箱和漏电保护器，或上述设备无门无锁，无防雨设施。</w:t>
      </w:r>
    </w:p>
    <w:p>
      <w:pPr>
        <w:pStyle w:val="28"/>
        <w:widowControl/>
        <w:spacing w:line="360" w:lineRule="auto"/>
        <w:rPr>
          <w:rFonts w:ascii="宋体" w:hAnsi="宋体" w:eastAsia="宋体"/>
          <w:sz w:val="24"/>
        </w:rPr>
      </w:pPr>
      <w:r>
        <w:rPr>
          <w:rFonts w:ascii="宋体" w:hAnsi="宋体" w:eastAsia="宋体"/>
          <w:sz w:val="24"/>
        </w:rPr>
        <w:t>3、电焊机、卷扬机等小型施工机械无可靠防雨设施。</w:t>
      </w:r>
    </w:p>
    <w:p>
      <w:pPr>
        <w:pStyle w:val="28"/>
        <w:widowControl/>
        <w:spacing w:line="360" w:lineRule="auto"/>
        <w:rPr>
          <w:rFonts w:ascii="宋体" w:hAnsi="宋体" w:eastAsia="宋体"/>
          <w:sz w:val="24"/>
        </w:rPr>
      </w:pPr>
      <w:r>
        <w:rPr>
          <w:rFonts w:ascii="宋体" w:hAnsi="宋体" w:eastAsia="宋体"/>
          <w:sz w:val="24"/>
        </w:rPr>
        <w:t>4、在潮湿的地方使用的照明灯电压大于12伏。</w:t>
      </w:r>
    </w:p>
    <w:p>
      <w:pPr>
        <w:pStyle w:val="28"/>
        <w:widowControl/>
        <w:spacing w:line="360" w:lineRule="auto"/>
        <w:rPr>
          <w:rFonts w:ascii="宋体" w:hAnsi="宋体" w:eastAsia="宋体"/>
          <w:sz w:val="24"/>
        </w:rPr>
      </w:pPr>
      <w:r>
        <w:rPr>
          <w:rFonts w:ascii="宋体" w:hAnsi="宋体" w:eastAsia="宋体"/>
          <w:sz w:val="24"/>
        </w:rPr>
        <w:t>5、电焊机外壳无接零保护。</w:t>
      </w:r>
    </w:p>
    <w:p>
      <w:pPr>
        <w:pStyle w:val="28"/>
        <w:widowControl/>
        <w:spacing w:line="360" w:lineRule="auto"/>
        <w:rPr>
          <w:rFonts w:ascii="宋体" w:hAnsi="宋体" w:eastAsia="宋体"/>
          <w:sz w:val="24"/>
        </w:rPr>
      </w:pPr>
      <w:r>
        <w:rPr>
          <w:rFonts w:ascii="宋体" w:hAnsi="宋体" w:eastAsia="宋体"/>
          <w:sz w:val="24"/>
        </w:rPr>
        <w:t>6、施工区域电焊线、电源线不集中布置，走向混乱。</w:t>
      </w:r>
    </w:p>
    <w:p>
      <w:pPr>
        <w:pStyle w:val="28"/>
        <w:widowControl/>
        <w:spacing w:line="360" w:lineRule="auto"/>
        <w:rPr>
          <w:rFonts w:ascii="宋体" w:hAnsi="宋体" w:eastAsia="宋体"/>
          <w:sz w:val="24"/>
        </w:rPr>
      </w:pPr>
      <w:r>
        <w:rPr>
          <w:rFonts w:ascii="宋体" w:hAnsi="宋体" w:eastAsia="宋体"/>
          <w:sz w:val="24"/>
        </w:rPr>
        <w:t>7、现场低压配电开关护盖不全，导电部分裸露。</w:t>
      </w:r>
    </w:p>
    <w:p>
      <w:pPr>
        <w:pStyle w:val="28"/>
        <w:widowControl/>
        <w:spacing w:line="360" w:lineRule="auto"/>
        <w:rPr>
          <w:rFonts w:ascii="宋体" w:hAnsi="宋体" w:eastAsia="宋体"/>
          <w:sz w:val="24"/>
        </w:rPr>
      </w:pPr>
      <w:r>
        <w:rPr>
          <w:rFonts w:ascii="宋体" w:hAnsi="宋体" w:eastAsia="宋体"/>
          <w:sz w:val="24"/>
        </w:rPr>
        <w:t>8、电气安装工器具、绝缘工具未按规定定期检验。</w:t>
      </w:r>
    </w:p>
    <w:p>
      <w:pPr>
        <w:pStyle w:val="28"/>
        <w:widowControl/>
        <w:spacing w:line="360" w:lineRule="auto"/>
        <w:rPr>
          <w:rFonts w:ascii="宋体" w:hAnsi="宋体" w:eastAsia="宋体"/>
          <w:sz w:val="24"/>
        </w:rPr>
      </w:pPr>
      <w:r>
        <w:rPr>
          <w:rFonts w:ascii="宋体" w:hAnsi="宋体" w:eastAsia="宋体"/>
          <w:sz w:val="24"/>
        </w:rPr>
        <w:t>9、未做到“一机一闸一漏”，一个开关控制两台及以上电动设备。</w:t>
      </w:r>
    </w:p>
    <w:p>
      <w:pPr>
        <w:pStyle w:val="28"/>
        <w:widowControl/>
        <w:spacing w:line="360" w:lineRule="auto"/>
        <w:rPr>
          <w:rFonts w:ascii="宋体" w:hAnsi="宋体" w:eastAsia="宋体"/>
          <w:sz w:val="24"/>
        </w:rPr>
      </w:pPr>
      <w:r>
        <w:rPr>
          <w:rFonts w:ascii="宋体" w:hAnsi="宋体" w:eastAsia="宋体"/>
          <w:sz w:val="24"/>
        </w:rPr>
        <w:t>10、移动电源箱无漏电保护器或漏电保护器失灵。</w:t>
      </w:r>
    </w:p>
    <w:p>
      <w:pPr>
        <w:pStyle w:val="28"/>
        <w:widowControl/>
        <w:spacing w:line="360" w:lineRule="auto"/>
        <w:rPr>
          <w:rFonts w:ascii="宋体" w:hAnsi="宋体" w:eastAsia="宋体"/>
          <w:sz w:val="24"/>
        </w:rPr>
      </w:pPr>
      <w:r>
        <w:rPr>
          <w:rFonts w:ascii="宋体" w:hAnsi="宋体" w:eastAsia="宋体"/>
          <w:sz w:val="24"/>
        </w:rPr>
        <w:t>11、现场使用不规范的电源盘、刀闸、电源板。</w:t>
      </w:r>
    </w:p>
    <w:p>
      <w:pPr>
        <w:pStyle w:val="28"/>
        <w:widowControl/>
        <w:spacing w:line="360" w:lineRule="auto"/>
        <w:rPr>
          <w:rFonts w:ascii="宋体" w:hAnsi="宋体" w:eastAsia="宋体"/>
          <w:sz w:val="24"/>
        </w:rPr>
      </w:pPr>
      <w:r>
        <w:rPr>
          <w:rFonts w:ascii="宋体" w:hAnsi="宋体" w:eastAsia="宋体"/>
          <w:sz w:val="24"/>
        </w:rPr>
        <w:t>12、机具库出库的电动工具、机械不符合国家有关安全标准。</w:t>
      </w:r>
    </w:p>
    <w:p>
      <w:pPr>
        <w:pStyle w:val="28"/>
        <w:widowControl/>
        <w:spacing w:line="360" w:lineRule="auto"/>
        <w:rPr>
          <w:rFonts w:ascii="宋体" w:hAnsi="宋体" w:eastAsia="宋体"/>
          <w:sz w:val="24"/>
        </w:rPr>
      </w:pPr>
      <w:r>
        <w:rPr>
          <w:rFonts w:ascii="宋体" w:hAnsi="宋体" w:eastAsia="宋体"/>
          <w:sz w:val="24"/>
        </w:rPr>
        <w:t>13、脚手架搭设无设计图纸、安全措施，未经相关部门验收。</w:t>
      </w:r>
    </w:p>
    <w:p>
      <w:pPr>
        <w:pStyle w:val="28"/>
        <w:widowControl/>
        <w:spacing w:line="360" w:lineRule="auto"/>
        <w:rPr>
          <w:rFonts w:ascii="宋体" w:hAnsi="宋体" w:eastAsia="宋体"/>
          <w:sz w:val="24"/>
        </w:rPr>
      </w:pPr>
      <w:r>
        <w:rPr>
          <w:rFonts w:ascii="宋体" w:hAnsi="宋体" w:eastAsia="宋体"/>
          <w:sz w:val="24"/>
        </w:rPr>
        <w:t>14、脚手板未按标准敷设或有探头板未绑扎牢。</w:t>
      </w:r>
    </w:p>
    <w:p>
      <w:pPr>
        <w:pStyle w:val="28"/>
        <w:widowControl/>
        <w:spacing w:line="360" w:lineRule="auto"/>
        <w:rPr>
          <w:rFonts w:ascii="宋体" w:hAnsi="宋体" w:eastAsia="宋体"/>
          <w:sz w:val="24"/>
        </w:rPr>
      </w:pPr>
      <w:r>
        <w:rPr>
          <w:rFonts w:ascii="宋体" w:hAnsi="宋体" w:eastAsia="宋体"/>
          <w:sz w:val="24"/>
        </w:rPr>
        <w:t>15、脚手板有虫蚀、断裂现象或强度不够，质量不能满足高空作业要求。</w:t>
      </w:r>
    </w:p>
    <w:p>
      <w:pPr>
        <w:pStyle w:val="28"/>
        <w:widowControl/>
        <w:spacing w:line="360" w:lineRule="auto"/>
        <w:rPr>
          <w:rFonts w:ascii="宋体" w:hAnsi="宋体" w:eastAsia="宋体"/>
          <w:sz w:val="24"/>
        </w:rPr>
      </w:pPr>
      <w:r>
        <w:rPr>
          <w:rFonts w:ascii="宋体" w:hAnsi="宋体" w:eastAsia="宋体"/>
          <w:sz w:val="24"/>
        </w:rPr>
        <w:t>16、高处危险作业的平台、走道、斜道等处未装设防护栏杆或未设防护立网。</w:t>
      </w:r>
    </w:p>
    <w:p>
      <w:pPr>
        <w:pStyle w:val="28"/>
        <w:widowControl/>
        <w:spacing w:line="360" w:lineRule="auto"/>
        <w:rPr>
          <w:rFonts w:ascii="宋体" w:hAnsi="宋体" w:eastAsia="宋体"/>
          <w:sz w:val="24"/>
        </w:rPr>
      </w:pPr>
      <w:r>
        <w:rPr>
          <w:rFonts w:ascii="宋体" w:hAnsi="宋体" w:eastAsia="宋体"/>
          <w:sz w:val="24"/>
        </w:rPr>
        <w:t>17、高处危险作业下方未搭设牢靠的安全网等防护隔离措施。</w:t>
      </w:r>
    </w:p>
    <w:p>
      <w:pPr>
        <w:pStyle w:val="28"/>
        <w:widowControl/>
        <w:spacing w:line="360" w:lineRule="auto"/>
        <w:rPr>
          <w:rFonts w:ascii="宋体" w:hAnsi="宋体" w:eastAsia="宋体"/>
          <w:sz w:val="24"/>
        </w:rPr>
      </w:pPr>
      <w:r>
        <w:rPr>
          <w:rFonts w:ascii="宋体" w:hAnsi="宋体" w:eastAsia="宋体"/>
          <w:sz w:val="24"/>
        </w:rPr>
        <w:t>18、防护隔离层、安全网搭设不牢固、不可靠。</w:t>
      </w:r>
    </w:p>
    <w:p>
      <w:pPr>
        <w:pStyle w:val="28"/>
        <w:widowControl/>
        <w:spacing w:line="360" w:lineRule="auto"/>
        <w:rPr>
          <w:rFonts w:ascii="宋体" w:hAnsi="宋体" w:eastAsia="宋体"/>
          <w:sz w:val="24"/>
        </w:rPr>
      </w:pPr>
      <w:r>
        <w:rPr>
          <w:rFonts w:ascii="宋体" w:hAnsi="宋体" w:eastAsia="宋体"/>
          <w:sz w:val="24"/>
        </w:rPr>
        <w:t>19、施工现场、高处作业区域的孔洞无牢固的标识盖板或围栏。</w:t>
      </w:r>
    </w:p>
    <w:p>
      <w:pPr>
        <w:pStyle w:val="28"/>
        <w:widowControl/>
        <w:spacing w:line="360" w:lineRule="auto"/>
        <w:rPr>
          <w:rFonts w:ascii="宋体" w:hAnsi="宋体" w:eastAsia="宋体"/>
          <w:sz w:val="24"/>
        </w:rPr>
      </w:pPr>
      <w:r>
        <w:rPr>
          <w:rFonts w:ascii="宋体" w:hAnsi="宋体" w:eastAsia="宋体"/>
          <w:sz w:val="24"/>
        </w:rPr>
        <w:t>20、深沟、深坑四周无安全警戒线或围栏、夜间无警告红灯。</w:t>
      </w:r>
    </w:p>
    <w:p>
      <w:pPr>
        <w:pStyle w:val="28"/>
        <w:widowControl/>
        <w:spacing w:line="360" w:lineRule="auto"/>
        <w:rPr>
          <w:rFonts w:ascii="宋体" w:hAnsi="宋体" w:eastAsia="宋体"/>
          <w:sz w:val="24"/>
        </w:rPr>
      </w:pPr>
      <w:r>
        <w:rPr>
          <w:rFonts w:ascii="宋体" w:hAnsi="宋体" w:eastAsia="宋体"/>
          <w:sz w:val="24"/>
        </w:rPr>
        <w:t>21、夜间高处作业照明不足。</w:t>
      </w:r>
    </w:p>
    <w:p>
      <w:pPr>
        <w:pStyle w:val="28"/>
        <w:widowControl/>
        <w:spacing w:line="360" w:lineRule="auto"/>
        <w:rPr>
          <w:rFonts w:ascii="宋体" w:hAnsi="宋体" w:eastAsia="宋体"/>
          <w:sz w:val="24"/>
        </w:rPr>
      </w:pPr>
      <w:r>
        <w:rPr>
          <w:rFonts w:ascii="宋体" w:hAnsi="宋体" w:eastAsia="宋体"/>
          <w:sz w:val="24"/>
        </w:rPr>
        <w:t>22、跨线作业四周无安全警戒线，未搭设脚手架、铺板、挂网。</w:t>
      </w:r>
    </w:p>
    <w:p>
      <w:pPr>
        <w:pStyle w:val="28"/>
        <w:widowControl/>
        <w:spacing w:line="360" w:lineRule="auto"/>
        <w:rPr>
          <w:rFonts w:ascii="宋体" w:hAnsi="宋体" w:eastAsia="宋体"/>
          <w:sz w:val="24"/>
        </w:rPr>
      </w:pPr>
      <w:r>
        <w:rPr>
          <w:rFonts w:ascii="宋体" w:hAnsi="宋体" w:eastAsia="宋体"/>
          <w:sz w:val="24"/>
        </w:rPr>
        <w:t>23、高处作业临边未设防护栏。</w:t>
      </w:r>
    </w:p>
    <w:p>
      <w:pPr>
        <w:pStyle w:val="28"/>
        <w:widowControl/>
        <w:spacing w:line="360" w:lineRule="auto"/>
        <w:rPr>
          <w:rFonts w:ascii="宋体" w:hAnsi="宋体" w:eastAsia="宋体"/>
          <w:sz w:val="24"/>
        </w:rPr>
      </w:pPr>
      <w:r>
        <w:rPr>
          <w:rFonts w:ascii="宋体" w:hAnsi="宋体" w:eastAsia="宋体"/>
          <w:sz w:val="24"/>
        </w:rPr>
        <w:t>24、脚手架上堆物超过其承载能力。</w:t>
      </w:r>
    </w:p>
    <w:p>
      <w:pPr>
        <w:pStyle w:val="28"/>
        <w:widowControl/>
        <w:spacing w:line="360" w:lineRule="auto"/>
        <w:rPr>
          <w:rFonts w:ascii="宋体" w:hAnsi="宋体" w:eastAsia="宋体"/>
          <w:sz w:val="24"/>
        </w:rPr>
      </w:pPr>
      <w:r>
        <w:rPr>
          <w:rFonts w:ascii="宋体" w:hAnsi="宋体" w:eastAsia="宋体"/>
          <w:sz w:val="24"/>
        </w:rPr>
        <w:t>25、平交路口未按要求设置标志标牌、减速带等安全设施。</w:t>
      </w:r>
    </w:p>
    <w:p>
      <w:pPr>
        <w:pStyle w:val="28"/>
        <w:widowControl/>
        <w:spacing w:line="360" w:lineRule="auto"/>
        <w:rPr>
          <w:rFonts w:ascii="宋体" w:hAnsi="宋体" w:eastAsia="宋体"/>
          <w:sz w:val="24"/>
        </w:rPr>
      </w:pPr>
      <w:r>
        <w:rPr>
          <w:rFonts w:ascii="宋体" w:hAnsi="宋体" w:eastAsia="宋体"/>
          <w:sz w:val="24"/>
        </w:rPr>
        <w:t>26、安全设施损坏或有缺陷未及时组织维修，或更换工作完毕后不回收，或不及时回收。</w:t>
      </w:r>
    </w:p>
    <w:p>
      <w:pPr>
        <w:pStyle w:val="28"/>
        <w:widowControl/>
        <w:spacing w:line="360" w:lineRule="auto"/>
        <w:outlineLvl w:val="1"/>
        <w:rPr>
          <w:rFonts w:ascii="宋体" w:hAnsi="宋体" w:eastAsia="宋体"/>
          <w:sz w:val="24"/>
        </w:rPr>
      </w:pPr>
      <w:bookmarkStart w:id="274" w:name="_Toc9178"/>
      <w:r>
        <w:rPr>
          <w:rFonts w:ascii="宋体" w:hAnsi="宋体" w:eastAsia="宋体"/>
          <w:sz w:val="24"/>
        </w:rPr>
        <w:t>27、易燃、易爆区域使用普通电器（应使用防爆电器）。</w:t>
      </w:r>
      <w:bookmarkEnd w:id="274"/>
    </w:p>
    <w:p>
      <w:pPr>
        <w:pStyle w:val="28"/>
        <w:widowControl/>
        <w:spacing w:line="360" w:lineRule="auto"/>
        <w:rPr>
          <w:rFonts w:ascii="宋体" w:hAnsi="宋体" w:eastAsia="宋体"/>
          <w:sz w:val="24"/>
        </w:rPr>
      </w:pPr>
      <w:r>
        <w:rPr>
          <w:rFonts w:ascii="宋体" w:hAnsi="宋体" w:eastAsia="宋体"/>
          <w:sz w:val="24"/>
        </w:rPr>
        <w:t>28、易燃、易爆区、重点防火区、消防器材配备不齐，不符合消防规程的要求，无警示标牌。</w:t>
      </w:r>
    </w:p>
    <w:p>
      <w:pPr>
        <w:pStyle w:val="28"/>
        <w:widowControl/>
        <w:spacing w:line="360" w:lineRule="auto"/>
        <w:rPr>
          <w:rFonts w:ascii="宋体" w:hAnsi="宋体" w:eastAsia="宋体"/>
          <w:sz w:val="24"/>
        </w:rPr>
      </w:pPr>
      <w:r>
        <w:rPr>
          <w:rFonts w:ascii="宋体" w:hAnsi="宋体" w:eastAsia="宋体"/>
          <w:sz w:val="24"/>
        </w:rPr>
        <w:t>29、消防器材不定期检验。</w:t>
      </w:r>
    </w:p>
    <w:p>
      <w:pPr>
        <w:pStyle w:val="28"/>
        <w:widowControl/>
        <w:spacing w:line="360" w:lineRule="auto"/>
        <w:rPr>
          <w:rFonts w:ascii="宋体" w:hAnsi="宋体" w:eastAsia="宋体"/>
          <w:sz w:val="24"/>
        </w:rPr>
      </w:pPr>
      <w:r>
        <w:rPr>
          <w:rFonts w:ascii="宋体" w:hAnsi="宋体" w:eastAsia="宋体"/>
          <w:sz w:val="24"/>
        </w:rPr>
        <w:t>30、现场消防、紧急救护通道不畅通。</w:t>
      </w:r>
    </w:p>
    <w:p>
      <w:pPr>
        <w:pStyle w:val="28"/>
        <w:widowControl/>
        <w:spacing w:line="360" w:lineRule="auto"/>
        <w:rPr>
          <w:rFonts w:ascii="宋体" w:hAnsi="宋体" w:eastAsia="宋体"/>
          <w:sz w:val="24"/>
        </w:rPr>
      </w:pPr>
      <w:r>
        <w:rPr>
          <w:rFonts w:ascii="宋体" w:hAnsi="宋体" w:eastAsia="宋体"/>
          <w:sz w:val="24"/>
        </w:rPr>
        <w:t>31、起重机械制动、信号装置、显示装置、保护装置失灵或带病作业。</w:t>
      </w:r>
    </w:p>
    <w:p>
      <w:pPr>
        <w:pStyle w:val="28"/>
        <w:widowControl/>
        <w:spacing w:line="360" w:lineRule="auto"/>
        <w:rPr>
          <w:rFonts w:ascii="宋体" w:hAnsi="宋体" w:eastAsia="宋体"/>
          <w:sz w:val="24"/>
        </w:rPr>
      </w:pPr>
      <w:r>
        <w:rPr>
          <w:rFonts w:ascii="宋体" w:hAnsi="宋体" w:eastAsia="宋体"/>
          <w:sz w:val="24"/>
        </w:rPr>
        <w:t>32、使用不合格的吊装工器具、或未按规程要求定期检验。</w:t>
      </w:r>
    </w:p>
    <w:p>
      <w:pPr>
        <w:pStyle w:val="28"/>
        <w:widowControl/>
        <w:spacing w:line="360" w:lineRule="auto"/>
        <w:rPr>
          <w:rFonts w:ascii="宋体" w:hAnsi="宋体" w:eastAsia="宋体"/>
          <w:sz w:val="24"/>
        </w:rPr>
      </w:pPr>
      <w:r>
        <w:rPr>
          <w:rFonts w:ascii="宋体" w:hAnsi="宋体" w:eastAsia="宋体"/>
          <w:sz w:val="24"/>
        </w:rPr>
        <w:t>33、机械转动、带电部分无保护罩。</w:t>
      </w:r>
    </w:p>
    <w:p>
      <w:pPr>
        <w:pStyle w:val="28"/>
        <w:widowControl/>
        <w:spacing w:line="360" w:lineRule="auto"/>
        <w:rPr>
          <w:rFonts w:ascii="宋体" w:hAnsi="宋体" w:eastAsia="宋体"/>
          <w:sz w:val="24"/>
        </w:rPr>
      </w:pPr>
      <w:r>
        <w:rPr>
          <w:rFonts w:ascii="宋体" w:hAnsi="宋体" w:eastAsia="宋体"/>
          <w:sz w:val="24"/>
        </w:rPr>
        <w:t>34、拆除脚手架、钢模板、架杆等不及时运走，堆放杂乱。</w:t>
      </w:r>
    </w:p>
    <w:p>
      <w:pPr>
        <w:pStyle w:val="28"/>
        <w:widowControl/>
        <w:spacing w:line="360" w:lineRule="auto"/>
        <w:rPr>
          <w:rFonts w:ascii="宋体" w:hAnsi="宋体" w:eastAsia="宋体"/>
          <w:sz w:val="24"/>
        </w:rPr>
      </w:pPr>
      <w:r>
        <w:rPr>
          <w:rFonts w:ascii="宋体" w:hAnsi="宋体" w:eastAsia="宋体"/>
          <w:sz w:val="24"/>
        </w:rPr>
        <w:t>35、现场材料、构件、设备堆放杂乱，未分类摆放。</w:t>
      </w:r>
    </w:p>
    <w:p>
      <w:pPr>
        <w:pStyle w:val="28"/>
        <w:widowControl/>
        <w:spacing w:line="360" w:lineRule="auto"/>
        <w:rPr>
          <w:rFonts w:ascii="宋体" w:hAnsi="宋体" w:eastAsia="宋体"/>
          <w:sz w:val="24"/>
        </w:rPr>
      </w:pPr>
      <w:r>
        <w:rPr>
          <w:rFonts w:hint="eastAsia" w:ascii="宋体" w:hAnsi="宋体" w:eastAsia="宋体"/>
          <w:sz w:val="24"/>
        </w:rPr>
        <w:t>（三）凡有下列行为（指挥性违章）之一者，处罚</w:t>
      </w:r>
      <w:r>
        <w:rPr>
          <w:rFonts w:ascii="宋体" w:hAnsi="宋体" w:eastAsia="宋体"/>
          <w:sz w:val="24"/>
        </w:rPr>
        <w:t>5000元～10000元：</w:t>
      </w:r>
    </w:p>
    <w:p>
      <w:pPr>
        <w:pStyle w:val="28"/>
        <w:widowControl/>
        <w:spacing w:line="360" w:lineRule="auto"/>
        <w:rPr>
          <w:rFonts w:ascii="宋体" w:hAnsi="宋体" w:eastAsia="宋体"/>
          <w:sz w:val="24"/>
        </w:rPr>
      </w:pPr>
      <w:r>
        <w:rPr>
          <w:rFonts w:ascii="宋体" w:hAnsi="宋体" w:eastAsia="宋体"/>
          <w:sz w:val="24"/>
        </w:rPr>
        <w:t>1、发布违反有关安全生产法令、法规和规章制度的命令，违章指挥施工。</w:t>
      </w:r>
    </w:p>
    <w:p>
      <w:pPr>
        <w:pStyle w:val="28"/>
        <w:widowControl/>
        <w:spacing w:line="360" w:lineRule="auto"/>
        <w:rPr>
          <w:rFonts w:ascii="宋体" w:hAnsi="宋体" w:eastAsia="宋体"/>
          <w:sz w:val="24"/>
        </w:rPr>
      </w:pPr>
      <w:r>
        <w:rPr>
          <w:rFonts w:ascii="宋体" w:hAnsi="宋体" w:eastAsia="宋体"/>
          <w:sz w:val="24"/>
        </w:rPr>
        <w:t>2、无视安全管理部门、安全管理人员的警告，未及时消除事故隐患。</w:t>
      </w:r>
    </w:p>
    <w:p>
      <w:pPr>
        <w:pStyle w:val="28"/>
        <w:widowControl/>
        <w:spacing w:line="360" w:lineRule="auto"/>
        <w:rPr>
          <w:rFonts w:ascii="宋体" w:hAnsi="宋体" w:eastAsia="宋体"/>
          <w:sz w:val="24"/>
        </w:rPr>
      </w:pPr>
      <w:r>
        <w:rPr>
          <w:rFonts w:ascii="宋体" w:hAnsi="宋体" w:eastAsia="宋体"/>
          <w:sz w:val="24"/>
        </w:rPr>
        <w:t>3、对工人发现的装置性违章和技术人员拟定的反装置性违章措施不闻不问，不组织消除。</w:t>
      </w:r>
    </w:p>
    <w:p>
      <w:pPr>
        <w:pStyle w:val="28"/>
        <w:widowControl/>
        <w:spacing w:line="360" w:lineRule="auto"/>
        <w:rPr>
          <w:rFonts w:ascii="宋体" w:hAnsi="宋体" w:eastAsia="宋体"/>
          <w:sz w:val="24"/>
        </w:rPr>
      </w:pPr>
      <w:r>
        <w:rPr>
          <w:rFonts w:ascii="宋体" w:hAnsi="宋体" w:eastAsia="宋体"/>
          <w:sz w:val="24"/>
        </w:rPr>
        <w:t>4、不认真吸取教训，未及时采取有效措施，致使同类事故重复发生。</w:t>
      </w:r>
    </w:p>
    <w:p>
      <w:pPr>
        <w:pStyle w:val="28"/>
        <w:widowControl/>
        <w:spacing w:line="360" w:lineRule="auto"/>
        <w:rPr>
          <w:rFonts w:ascii="宋体" w:hAnsi="宋体" w:eastAsia="宋体"/>
          <w:sz w:val="24"/>
        </w:rPr>
      </w:pPr>
      <w:r>
        <w:rPr>
          <w:rFonts w:ascii="宋体" w:hAnsi="宋体" w:eastAsia="宋体"/>
          <w:sz w:val="24"/>
        </w:rPr>
        <w:t>5、招用未经资质审查或审查不合格的施工队伍。</w:t>
      </w:r>
    </w:p>
    <w:p>
      <w:pPr>
        <w:pStyle w:val="28"/>
        <w:widowControl/>
        <w:spacing w:line="360" w:lineRule="auto"/>
        <w:rPr>
          <w:rFonts w:ascii="宋体" w:hAnsi="宋体" w:eastAsia="宋体"/>
          <w:sz w:val="24"/>
        </w:rPr>
      </w:pPr>
      <w:r>
        <w:rPr>
          <w:rFonts w:ascii="宋体" w:hAnsi="宋体" w:eastAsia="宋体"/>
          <w:sz w:val="24"/>
        </w:rPr>
        <w:t>6、安排未经安全教育或安全考核不合格的人员进行现场施工。</w:t>
      </w:r>
    </w:p>
    <w:p>
      <w:pPr>
        <w:pStyle w:val="28"/>
        <w:widowControl/>
        <w:spacing w:line="360" w:lineRule="auto"/>
        <w:rPr>
          <w:rFonts w:ascii="宋体" w:hAnsi="宋体" w:eastAsia="宋体"/>
          <w:sz w:val="24"/>
        </w:rPr>
      </w:pPr>
      <w:r>
        <w:rPr>
          <w:rFonts w:ascii="宋体" w:hAnsi="宋体" w:eastAsia="宋体"/>
          <w:sz w:val="24"/>
        </w:rPr>
        <w:t>7、安排不具备特种作业资格的人员进行特种作业。</w:t>
      </w:r>
    </w:p>
    <w:p>
      <w:pPr>
        <w:pStyle w:val="28"/>
        <w:widowControl/>
        <w:spacing w:line="360" w:lineRule="auto"/>
        <w:rPr>
          <w:rFonts w:ascii="宋体" w:hAnsi="宋体" w:eastAsia="宋体"/>
          <w:sz w:val="24"/>
        </w:rPr>
      </w:pPr>
      <w:r>
        <w:rPr>
          <w:rFonts w:ascii="宋体" w:hAnsi="宋体" w:eastAsia="宋体"/>
          <w:sz w:val="24"/>
        </w:rPr>
        <w:t>8、违反职业禁忌症的有关规定，安排不符合身体健康要求的人员上岗。</w:t>
      </w:r>
    </w:p>
    <w:p>
      <w:pPr>
        <w:pStyle w:val="28"/>
        <w:widowControl/>
        <w:spacing w:line="360" w:lineRule="auto"/>
        <w:rPr>
          <w:rFonts w:ascii="宋体" w:hAnsi="宋体" w:eastAsia="宋体"/>
          <w:sz w:val="24"/>
        </w:rPr>
      </w:pPr>
      <w:r>
        <w:rPr>
          <w:rFonts w:ascii="宋体" w:hAnsi="宋体" w:eastAsia="宋体"/>
          <w:sz w:val="24"/>
        </w:rPr>
        <w:t>9、违章指挥，默认工人违章作业、冒险作业，在没有可靠的技术措施和安全保障措施的状态下施工。</w:t>
      </w:r>
    </w:p>
    <w:p>
      <w:pPr>
        <w:pStyle w:val="28"/>
        <w:widowControl/>
        <w:spacing w:line="360" w:lineRule="auto"/>
        <w:rPr>
          <w:rFonts w:ascii="宋体" w:hAnsi="宋体" w:eastAsia="宋体"/>
          <w:sz w:val="24"/>
        </w:rPr>
      </w:pPr>
      <w:r>
        <w:rPr>
          <w:rFonts w:ascii="宋体" w:hAnsi="宋体" w:eastAsia="宋体"/>
          <w:sz w:val="24"/>
        </w:rPr>
        <w:t>10、施工队伍未进行每月一次的自行安全检查，未召开每月一次的安全会议。</w:t>
      </w:r>
    </w:p>
    <w:p>
      <w:pPr>
        <w:pStyle w:val="28"/>
        <w:widowControl/>
        <w:spacing w:line="360" w:lineRule="auto"/>
        <w:rPr>
          <w:rFonts w:ascii="宋体" w:hAnsi="宋体" w:eastAsia="宋体"/>
          <w:sz w:val="24"/>
        </w:rPr>
      </w:pPr>
      <w:r>
        <w:rPr>
          <w:rFonts w:ascii="宋体" w:hAnsi="宋体" w:eastAsia="宋体"/>
          <w:sz w:val="24"/>
        </w:rPr>
        <w:t>11、班组未进行每周一次的安全检查，未开展每周一次的安全活动。</w:t>
      </w:r>
    </w:p>
    <w:p>
      <w:pPr>
        <w:pStyle w:val="28"/>
        <w:widowControl/>
        <w:spacing w:line="360" w:lineRule="auto"/>
        <w:rPr>
          <w:rFonts w:ascii="宋体" w:hAnsi="宋体" w:eastAsia="宋体"/>
          <w:sz w:val="24"/>
        </w:rPr>
      </w:pPr>
      <w:r>
        <w:rPr>
          <w:rFonts w:ascii="宋体" w:hAnsi="宋体" w:eastAsia="宋体"/>
          <w:sz w:val="24"/>
        </w:rPr>
        <w:t>12、隐患整改通知单未按时反馈，未按隐患整改通知单要求整改或未整改。</w:t>
      </w:r>
    </w:p>
    <w:p>
      <w:pPr>
        <w:pStyle w:val="28"/>
        <w:widowControl/>
        <w:spacing w:line="360" w:lineRule="auto"/>
        <w:outlineLvl w:val="1"/>
        <w:rPr>
          <w:rFonts w:ascii="宋体" w:hAnsi="宋体" w:eastAsia="宋体"/>
          <w:sz w:val="24"/>
        </w:rPr>
      </w:pPr>
      <w:bookmarkStart w:id="275" w:name="_Toc1979"/>
      <w:r>
        <w:rPr>
          <w:rFonts w:ascii="宋体" w:hAnsi="宋体" w:eastAsia="宋体"/>
          <w:sz w:val="24"/>
        </w:rPr>
        <w:t>15、班组长（施工负责人）班前不进行安全交底，或交底无记录。</w:t>
      </w:r>
      <w:bookmarkEnd w:id="275"/>
    </w:p>
    <w:p>
      <w:pPr>
        <w:pStyle w:val="28"/>
        <w:widowControl/>
        <w:spacing w:line="360" w:lineRule="auto"/>
        <w:rPr>
          <w:rFonts w:ascii="宋体" w:hAnsi="宋体" w:eastAsia="宋体"/>
          <w:sz w:val="24"/>
        </w:rPr>
      </w:pPr>
      <w:r>
        <w:rPr>
          <w:rFonts w:ascii="宋体" w:hAnsi="宋体" w:eastAsia="宋体"/>
          <w:sz w:val="24"/>
        </w:rPr>
        <w:t>17、重大的起重、运输作业、特殊高处作业等危险性作业项目，未办理安全施工作业登记，未指定监管人。</w:t>
      </w:r>
    </w:p>
    <w:p>
      <w:pPr>
        <w:pStyle w:val="28"/>
        <w:widowControl/>
        <w:spacing w:line="360" w:lineRule="auto"/>
        <w:rPr>
          <w:rFonts w:ascii="宋体" w:hAnsi="宋体" w:eastAsia="宋体"/>
          <w:sz w:val="24"/>
        </w:rPr>
      </w:pPr>
      <w:r>
        <w:rPr>
          <w:rFonts w:ascii="宋体" w:hAnsi="宋体" w:eastAsia="宋体"/>
          <w:sz w:val="24"/>
        </w:rPr>
        <w:t>18、在易燃、易爆区周围动火未办理工作登记，施工负责人就组织施工。</w:t>
      </w:r>
    </w:p>
    <w:p>
      <w:pPr>
        <w:pStyle w:val="28"/>
        <w:widowControl/>
        <w:spacing w:line="360" w:lineRule="auto"/>
        <w:outlineLvl w:val="1"/>
        <w:rPr>
          <w:rFonts w:ascii="宋体" w:hAnsi="宋体" w:eastAsia="宋体"/>
          <w:sz w:val="24"/>
        </w:rPr>
      </w:pPr>
      <w:bookmarkStart w:id="276" w:name="_Toc15869"/>
      <w:r>
        <w:rPr>
          <w:rFonts w:ascii="宋体" w:hAnsi="宋体" w:eastAsia="宋体"/>
          <w:sz w:val="24"/>
        </w:rPr>
        <w:t>19、施工项目无安全措施或未交底，施工负责人就组织施工。</w:t>
      </w:r>
      <w:bookmarkEnd w:id="276"/>
    </w:p>
    <w:p>
      <w:pPr>
        <w:pStyle w:val="28"/>
        <w:widowControl/>
        <w:spacing w:line="360" w:lineRule="auto"/>
        <w:rPr>
          <w:rFonts w:ascii="宋体" w:hAnsi="宋体" w:eastAsia="宋体"/>
          <w:sz w:val="24"/>
        </w:rPr>
      </w:pPr>
      <w:r>
        <w:rPr>
          <w:rFonts w:ascii="宋体" w:hAnsi="宋体" w:eastAsia="宋体"/>
          <w:sz w:val="24"/>
        </w:rPr>
        <w:t>20、经批准的作业指导书或安全措施有错误或缺陷，审批者负主要责任，编写者负直接责任。</w:t>
      </w:r>
    </w:p>
    <w:p>
      <w:pPr>
        <w:pStyle w:val="28"/>
        <w:widowControl/>
        <w:spacing w:line="360" w:lineRule="auto"/>
        <w:outlineLvl w:val="1"/>
        <w:rPr>
          <w:rFonts w:ascii="宋体" w:hAnsi="宋体" w:eastAsia="宋体"/>
          <w:sz w:val="24"/>
        </w:rPr>
      </w:pPr>
      <w:bookmarkStart w:id="277" w:name="_Toc8119"/>
      <w:r>
        <w:rPr>
          <w:rFonts w:ascii="宋体" w:hAnsi="宋体" w:eastAsia="宋体"/>
          <w:sz w:val="24"/>
        </w:rPr>
        <w:t>21、施工负责人擅自更改经批准的技术措施、安全措施。</w:t>
      </w:r>
      <w:bookmarkEnd w:id="277"/>
    </w:p>
    <w:p>
      <w:pPr>
        <w:pStyle w:val="28"/>
        <w:widowControl/>
        <w:spacing w:line="360" w:lineRule="auto"/>
        <w:rPr>
          <w:rFonts w:ascii="宋体" w:hAnsi="宋体" w:eastAsia="宋体"/>
          <w:sz w:val="24"/>
        </w:rPr>
      </w:pPr>
      <w:r>
        <w:rPr>
          <w:rFonts w:ascii="宋体" w:hAnsi="宋体" w:eastAsia="宋体"/>
          <w:sz w:val="24"/>
        </w:rPr>
        <w:t>22、安排工作方法、工作程序不当，以致施工中危害工人的生命和身体健康。</w:t>
      </w:r>
    </w:p>
    <w:p>
      <w:pPr>
        <w:pStyle w:val="28"/>
        <w:widowControl/>
        <w:spacing w:line="360" w:lineRule="auto"/>
        <w:rPr>
          <w:rFonts w:ascii="宋体" w:hAnsi="宋体" w:eastAsia="宋体"/>
          <w:sz w:val="24"/>
        </w:rPr>
      </w:pPr>
      <w:r>
        <w:rPr>
          <w:rFonts w:ascii="宋体" w:hAnsi="宋体" w:eastAsia="宋体"/>
          <w:sz w:val="24"/>
        </w:rPr>
        <w:t>23、安排或默认工作地点风力达到六级及以上时进行起吊作业、高处作业，或遇有大雪、大雾、雷雨等恶劣天气，或照明不足指挥人员看不清工作地点、操作人员看不见指挥信号时进行起吊作业。</w:t>
      </w:r>
    </w:p>
    <w:p>
      <w:pPr>
        <w:pStyle w:val="28"/>
        <w:widowControl/>
        <w:spacing w:line="360" w:lineRule="auto"/>
        <w:rPr>
          <w:rFonts w:ascii="宋体" w:hAnsi="宋体" w:eastAsia="宋体"/>
          <w:sz w:val="24"/>
        </w:rPr>
      </w:pPr>
      <w:r>
        <w:rPr>
          <w:rFonts w:ascii="宋体" w:hAnsi="宋体" w:eastAsia="宋体"/>
          <w:sz w:val="24"/>
        </w:rPr>
        <w:t>24、安排或默认不具备相关安全知识，不会使用消防器材的人员在易燃、易爆区工作。</w:t>
      </w:r>
    </w:p>
    <w:p>
      <w:pPr>
        <w:pStyle w:val="28"/>
        <w:widowControl/>
        <w:spacing w:line="360" w:lineRule="auto"/>
        <w:rPr>
          <w:rFonts w:ascii="宋体" w:hAnsi="宋体" w:eastAsia="宋体"/>
          <w:sz w:val="24"/>
        </w:rPr>
      </w:pPr>
      <w:r>
        <w:rPr>
          <w:rFonts w:ascii="宋体" w:hAnsi="宋体" w:eastAsia="宋体"/>
          <w:sz w:val="24"/>
        </w:rPr>
        <w:t>25、在易燃物品及主要设备上方进行焊接作业，下方无监管人，未采取防火安全措施。</w:t>
      </w:r>
    </w:p>
    <w:p>
      <w:pPr>
        <w:pStyle w:val="28"/>
        <w:widowControl/>
        <w:spacing w:line="360" w:lineRule="auto"/>
        <w:rPr>
          <w:rFonts w:ascii="宋体" w:hAnsi="宋体" w:eastAsia="宋体"/>
          <w:sz w:val="24"/>
        </w:rPr>
      </w:pPr>
      <w:r>
        <w:rPr>
          <w:rFonts w:ascii="宋体" w:hAnsi="宋体" w:eastAsia="宋体"/>
          <w:sz w:val="24"/>
        </w:rPr>
        <w:t>26、施工负责人没有及时组织对文明施工责任区域进行清理。</w:t>
      </w:r>
    </w:p>
    <w:p>
      <w:pPr>
        <w:pStyle w:val="28"/>
        <w:widowControl/>
        <w:spacing w:line="360" w:lineRule="auto"/>
        <w:rPr>
          <w:rFonts w:ascii="宋体" w:hAnsi="宋体" w:eastAsia="宋体"/>
          <w:sz w:val="24"/>
        </w:rPr>
      </w:pPr>
      <w:r>
        <w:rPr>
          <w:rFonts w:ascii="宋体" w:hAnsi="宋体" w:eastAsia="宋体"/>
          <w:sz w:val="24"/>
        </w:rPr>
        <w:t>27、擅自决定变动、拆除、挪用或停用安全装置或安全设施。</w:t>
      </w:r>
    </w:p>
    <w:p>
      <w:pPr>
        <w:pStyle w:val="28"/>
        <w:widowControl/>
        <w:spacing w:line="360" w:lineRule="auto"/>
        <w:rPr>
          <w:rFonts w:ascii="宋体" w:hAnsi="宋体" w:eastAsia="宋体"/>
          <w:sz w:val="24"/>
        </w:rPr>
      </w:pPr>
      <w:r>
        <w:rPr>
          <w:rFonts w:ascii="宋体" w:hAnsi="宋体" w:eastAsia="宋体"/>
          <w:sz w:val="24"/>
        </w:rPr>
        <w:t>28、安排或默认机械设备不按计划检修或带病运行、超负荷运行。</w:t>
      </w:r>
    </w:p>
    <w:p>
      <w:pPr>
        <w:pStyle w:val="28"/>
        <w:widowControl/>
        <w:spacing w:line="360" w:lineRule="auto"/>
        <w:rPr>
          <w:rFonts w:ascii="宋体" w:hAnsi="宋体" w:eastAsia="宋体"/>
          <w:sz w:val="24"/>
        </w:rPr>
      </w:pPr>
      <w:r>
        <w:rPr>
          <w:rFonts w:ascii="宋体" w:hAnsi="宋体" w:eastAsia="宋体"/>
          <w:sz w:val="24"/>
        </w:rPr>
        <w:t>29、发生事故（包括未遂事故）后不及时组织并主持对事故进行调查、分析。</w:t>
      </w:r>
    </w:p>
    <w:p>
      <w:pPr>
        <w:pStyle w:val="28"/>
        <w:widowControl/>
        <w:spacing w:line="360" w:lineRule="auto"/>
        <w:rPr>
          <w:rFonts w:ascii="宋体" w:hAnsi="宋体" w:eastAsia="宋体"/>
          <w:sz w:val="24"/>
        </w:rPr>
      </w:pPr>
      <w:r>
        <w:rPr>
          <w:rFonts w:ascii="宋体" w:hAnsi="宋体" w:eastAsia="宋体"/>
          <w:sz w:val="24"/>
        </w:rPr>
        <w:t>30、对作业性违章、装置性违章不制止、不纠正或不进行处罚和教育。</w:t>
      </w:r>
    </w:p>
    <w:p>
      <w:pPr>
        <w:pStyle w:val="28"/>
        <w:widowControl/>
        <w:spacing w:line="360" w:lineRule="auto"/>
        <w:outlineLvl w:val="1"/>
        <w:rPr>
          <w:rFonts w:ascii="宋体" w:hAnsi="宋体" w:eastAsia="宋体"/>
          <w:sz w:val="24"/>
        </w:rPr>
      </w:pPr>
      <w:bookmarkStart w:id="278" w:name="_Toc11893"/>
      <w:r>
        <w:rPr>
          <w:rFonts w:ascii="宋体" w:hAnsi="宋体" w:eastAsia="宋体"/>
          <w:sz w:val="24"/>
        </w:rPr>
        <w:t>31、施工现场使用童工的。</w:t>
      </w:r>
      <w:bookmarkEnd w:id="278"/>
    </w:p>
    <w:p>
      <w:pPr>
        <w:pStyle w:val="28"/>
        <w:widowControl/>
        <w:spacing w:line="360" w:lineRule="auto"/>
        <w:rPr>
          <w:rFonts w:ascii="宋体" w:hAnsi="宋体" w:eastAsia="宋体"/>
          <w:sz w:val="24"/>
        </w:rPr>
      </w:pPr>
      <w:r>
        <w:rPr>
          <w:rFonts w:hint="eastAsia" w:ascii="宋体" w:hAnsi="宋体" w:eastAsia="宋体"/>
          <w:sz w:val="24"/>
        </w:rPr>
        <w:t>（四）凡有下列行为（文明施工违章）之一者，按以下规定罚款：</w:t>
      </w:r>
    </w:p>
    <w:p>
      <w:pPr>
        <w:pStyle w:val="28"/>
        <w:widowControl/>
        <w:spacing w:line="360" w:lineRule="auto"/>
        <w:rPr>
          <w:rFonts w:ascii="宋体" w:hAnsi="宋体" w:eastAsia="宋体"/>
          <w:sz w:val="24"/>
        </w:rPr>
      </w:pPr>
      <w:r>
        <w:rPr>
          <w:rFonts w:ascii="宋体" w:hAnsi="宋体" w:eastAsia="宋体"/>
          <w:sz w:val="24"/>
        </w:rPr>
        <w:t>1、施工现场、道路要保持畅通，各主干道不准堆放设备、材料、物品。违者整改日期一天，另处罚款1000元～2000元。整改不力的多一天加罚一倍，以此类推。</w:t>
      </w:r>
    </w:p>
    <w:p>
      <w:pPr>
        <w:pStyle w:val="28"/>
        <w:widowControl/>
        <w:spacing w:line="360" w:lineRule="auto"/>
        <w:rPr>
          <w:rFonts w:ascii="宋体" w:hAnsi="宋体" w:eastAsia="宋体"/>
          <w:sz w:val="24"/>
        </w:rPr>
      </w:pPr>
      <w:r>
        <w:rPr>
          <w:rFonts w:ascii="宋体" w:hAnsi="宋体" w:eastAsia="宋体"/>
          <w:sz w:val="24"/>
        </w:rPr>
        <w:t>2、各施工作业点，每天下班前必须进行自检，应做到工完料尽场地清。没有做好，整改日期一天，另处罚款1000元～2000元，整改不力的加重处罚（同第一款）。</w:t>
      </w:r>
    </w:p>
    <w:p>
      <w:pPr>
        <w:pStyle w:val="28"/>
        <w:widowControl/>
        <w:spacing w:line="360" w:lineRule="auto"/>
        <w:rPr>
          <w:rFonts w:ascii="宋体" w:hAnsi="宋体" w:eastAsia="宋体"/>
          <w:sz w:val="24"/>
        </w:rPr>
      </w:pPr>
      <w:r>
        <w:rPr>
          <w:rFonts w:ascii="宋体" w:hAnsi="宋体" w:eastAsia="宋体"/>
          <w:sz w:val="24"/>
        </w:rPr>
        <w:t>3、外围施工的材料设备堆放必须按统一规划并经监理认可，堆放要整齐，标识要清晰，且必须离开道路边线适当距离。违者整改日期一天，并处罚款1000元～2000元，整改不力或重犯者，加重处罚（同第一款）。</w:t>
      </w:r>
    </w:p>
    <w:p>
      <w:pPr>
        <w:pStyle w:val="28"/>
        <w:widowControl/>
        <w:spacing w:line="360" w:lineRule="auto"/>
        <w:rPr>
          <w:rFonts w:ascii="宋体" w:hAnsi="宋体" w:eastAsia="宋体"/>
          <w:sz w:val="24"/>
        </w:rPr>
      </w:pPr>
      <w:r>
        <w:rPr>
          <w:rFonts w:ascii="宋体" w:hAnsi="宋体" w:eastAsia="宋体"/>
          <w:sz w:val="24"/>
        </w:rPr>
        <w:t>4、设备的防护和隔离设施必须完善，不完善者处罚1000元～2000元，并限期完善。</w:t>
      </w:r>
    </w:p>
    <w:p>
      <w:pPr>
        <w:pStyle w:val="28"/>
        <w:widowControl/>
        <w:spacing w:line="360" w:lineRule="auto"/>
        <w:rPr>
          <w:rFonts w:ascii="宋体" w:hAnsi="宋体" w:eastAsia="宋体"/>
          <w:sz w:val="24"/>
        </w:rPr>
      </w:pPr>
      <w:r>
        <w:rPr>
          <w:rFonts w:ascii="宋体" w:hAnsi="宋体" w:eastAsia="宋体"/>
          <w:sz w:val="24"/>
        </w:rPr>
        <w:t>5、现场施工用电电缆和地下埋设电缆均要有明显标志，违者处罚1000元～2000元。</w:t>
      </w:r>
    </w:p>
    <w:p>
      <w:pPr>
        <w:pStyle w:val="28"/>
        <w:widowControl/>
        <w:spacing w:line="360" w:lineRule="auto"/>
        <w:rPr>
          <w:rFonts w:ascii="宋体" w:hAnsi="宋体" w:eastAsia="宋体"/>
          <w:sz w:val="24"/>
        </w:rPr>
      </w:pPr>
      <w:r>
        <w:rPr>
          <w:rFonts w:ascii="宋体" w:hAnsi="宋体" w:eastAsia="宋体"/>
          <w:sz w:val="24"/>
        </w:rPr>
        <w:t>8、施工现场搭设临时建筑，要经监理批准同意后方可实施，违者处罚2000元～5000元。</w:t>
      </w:r>
    </w:p>
    <w:p>
      <w:pPr>
        <w:pStyle w:val="28"/>
        <w:widowControl/>
        <w:spacing w:line="360" w:lineRule="auto"/>
        <w:rPr>
          <w:rFonts w:ascii="宋体" w:hAnsi="宋体" w:eastAsia="宋体"/>
          <w:sz w:val="24"/>
        </w:rPr>
      </w:pPr>
      <w:r>
        <w:rPr>
          <w:rFonts w:ascii="宋体" w:hAnsi="宋体" w:eastAsia="宋体"/>
          <w:sz w:val="24"/>
        </w:rPr>
        <w:t>9、施工现场场地平整，材料分类堆放整齐、标识清晰、无积水，违者一次罚款2000元～5000元。</w:t>
      </w:r>
    </w:p>
    <w:p>
      <w:pPr>
        <w:pStyle w:val="28"/>
        <w:widowControl/>
        <w:spacing w:line="360" w:lineRule="auto"/>
        <w:rPr>
          <w:rFonts w:ascii="宋体" w:hAnsi="宋体" w:eastAsia="宋体"/>
          <w:sz w:val="24"/>
        </w:rPr>
      </w:pPr>
      <w:r>
        <w:rPr>
          <w:rFonts w:ascii="宋体" w:hAnsi="宋体" w:eastAsia="宋体"/>
          <w:sz w:val="24"/>
        </w:rPr>
        <w:t>10、施工常用工器具应规划区域、堆放整齐，不影响外观形象，违者整改日期一天，并处罚款2000元～5000元，整改不力或重犯者，加重处罚（同第一款）。</w:t>
      </w:r>
    </w:p>
    <w:p>
      <w:pPr>
        <w:pStyle w:val="28"/>
        <w:widowControl/>
        <w:spacing w:line="360" w:lineRule="auto"/>
        <w:rPr>
          <w:rFonts w:ascii="宋体" w:hAnsi="宋体" w:eastAsia="宋体"/>
          <w:sz w:val="24"/>
        </w:rPr>
      </w:pPr>
      <w:r>
        <w:rPr>
          <w:rFonts w:ascii="宋体" w:hAnsi="宋体" w:eastAsia="宋体"/>
          <w:sz w:val="24"/>
        </w:rPr>
        <w:t>11、对于砂石运输车、出渣车、砼运输车等车辆，由于超载、车厢不密封等原因洒落道路上的物料，必须即时清理，否则，每次罚款5000元～10000元。</w:t>
      </w:r>
    </w:p>
    <w:p>
      <w:pPr>
        <w:pStyle w:val="28"/>
        <w:widowControl/>
        <w:spacing w:line="360" w:lineRule="auto"/>
        <w:rPr>
          <w:rFonts w:ascii="宋体" w:hAnsi="宋体" w:eastAsia="宋体"/>
          <w:sz w:val="24"/>
        </w:rPr>
      </w:pPr>
      <w:r>
        <w:rPr>
          <w:rFonts w:hint="eastAsia" w:ascii="宋体" w:hAnsi="宋体" w:eastAsia="宋体"/>
          <w:sz w:val="24"/>
        </w:rPr>
        <w:t>（五）凡有下列行为（制度性违章）之一者，按以下规定罚款：</w:t>
      </w:r>
    </w:p>
    <w:p>
      <w:pPr>
        <w:pStyle w:val="28"/>
        <w:widowControl/>
        <w:spacing w:line="360" w:lineRule="auto"/>
        <w:rPr>
          <w:rFonts w:ascii="宋体" w:hAnsi="宋体" w:eastAsia="宋体"/>
          <w:sz w:val="24"/>
        </w:rPr>
      </w:pPr>
      <w:r>
        <w:rPr>
          <w:rFonts w:ascii="宋体" w:hAnsi="宋体" w:eastAsia="宋体"/>
          <w:sz w:val="24"/>
        </w:rPr>
        <w:t xml:space="preserve">1、安全制度建设。安全生产责任制度、安全隐患排查治理制度、重大危险源辨析、评价、监控制度、安全生产事故报告制度、安全生产应急管理制度制度缺少、制度无针对性或未落实的，违者处以10000元罚款 </w:t>
      </w:r>
      <w:r>
        <w:rPr>
          <w:rFonts w:hint="eastAsia" w:ascii="宋体" w:hAnsi="宋体" w:eastAsia="宋体"/>
          <w:sz w:val="24"/>
        </w:rPr>
        <w:t>；安全生产会议制度、安全生产费用管理制度、安全生产培训教育、交底制度、安全检查制度、安全生产奖惩制度、安全操作规程、劳动防护用品管理制度制度缺少、制度无针对性或未落实的，违者处以</w:t>
      </w:r>
      <w:r>
        <w:rPr>
          <w:rFonts w:ascii="宋体" w:hAnsi="宋体" w:eastAsia="宋体"/>
          <w:sz w:val="24"/>
        </w:rPr>
        <w:t>5000元罚款。</w:t>
      </w:r>
    </w:p>
    <w:p>
      <w:pPr>
        <w:pStyle w:val="28"/>
        <w:widowControl/>
        <w:spacing w:line="360" w:lineRule="auto"/>
        <w:rPr>
          <w:rFonts w:ascii="宋体" w:hAnsi="宋体" w:eastAsia="宋体"/>
          <w:sz w:val="24"/>
        </w:rPr>
      </w:pPr>
      <w:r>
        <w:rPr>
          <w:rFonts w:ascii="宋体" w:hAnsi="宋体" w:eastAsia="宋体"/>
          <w:sz w:val="24"/>
        </w:rPr>
        <w:t>2、安全责任体系。施工单位未对安全责任层层分解并签订安全生产责任书；未按要求配备专（兼）职安全人员。违者处罚款5000元～10000元。</w:t>
      </w:r>
    </w:p>
    <w:p>
      <w:pPr>
        <w:pStyle w:val="28"/>
        <w:widowControl/>
        <w:spacing w:line="360" w:lineRule="auto"/>
        <w:rPr>
          <w:rFonts w:ascii="宋体" w:hAnsi="宋体" w:eastAsia="宋体"/>
          <w:sz w:val="24"/>
        </w:rPr>
      </w:pPr>
      <w:r>
        <w:rPr>
          <w:rFonts w:ascii="宋体" w:hAnsi="宋体" w:eastAsia="宋体"/>
          <w:sz w:val="24"/>
        </w:rPr>
        <w:t>3、安全专项方案。施工组织设计无安全措施或措施不全，无危险性较大工程安全专项方案（方案必须包含安全防护设施设计图、方案受力验算及应急预案）、未按规定制定临时用电方案，方案未及时报批或报批程序不完善，违者处以罚款20000元。</w:t>
      </w:r>
    </w:p>
    <w:p>
      <w:pPr>
        <w:pStyle w:val="28"/>
        <w:widowControl/>
        <w:spacing w:line="360" w:lineRule="auto"/>
        <w:rPr>
          <w:rFonts w:ascii="宋体" w:hAnsi="宋体" w:eastAsia="宋体"/>
          <w:sz w:val="24"/>
        </w:rPr>
      </w:pPr>
      <w:r>
        <w:rPr>
          <w:rFonts w:ascii="宋体" w:hAnsi="宋体" w:eastAsia="宋体"/>
          <w:sz w:val="24"/>
        </w:rPr>
        <w:t>4、劳务登记与安全教育培训。未按要求建立劳务用工档案；未按规定购买意外伤害保险；无安全防护用品发放台账；安全培训教育记录不全；安全交底资料不全；安全管理三类人员、特种人员未持证上岗的，每次处以罚款5000元～10000元。</w:t>
      </w:r>
    </w:p>
    <w:p>
      <w:pPr>
        <w:pStyle w:val="28"/>
        <w:widowControl/>
        <w:spacing w:line="360" w:lineRule="auto"/>
        <w:rPr>
          <w:rFonts w:ascii="宋体" w:hAnsi="宋体" w:eastAsia="宋体"/>
          <w:sz w:val="24"/>
        </w:rPr>
      </w:pPr>
      <w:r>
        <w:rPr>
          <w:rFonts w:ascii="宋体" w:hAnsi="宋体" w:eastAsia="宋体"/>
          <w:sz w:val="24"/>
        </w:rPr>
        <w:t>5、安全检查及隐患排查治理。未对本工程进行危险源识别评价、重大危险源保障措施不足；未落实风险告知制度；未按要求执行安全检查；未建立施工安全隐患动态治理台账，每次处以罚款5000元～10000元。</w:t>
      </w:r>
    </w:p>
    <w:p>
      <w:pPr>
        <w:pStyle w:val="28"/>
        <w:widowControl/>
        <w:spacing w:line="360" w:lineRule="auto"/>
        <w:rPr>
          <w:rFonts w:ascii="宋体" w:hAnsi="宋体" w:eastAsia="宋体"/>
          <w:sz w:val="24"/>
        </w:rPr>
      </w:pPr>
      <w:r>
        <w:rPr>
          <w:rFonts w:ascii="宋体" w:hAnsi="宋体" w:eastAsia="宋体"/>
          <w:sz w:val="24"/>
        </w:rPr>
        <w:t>6、安全费用管理。无安全经费总体计划；无安全费用台账或台账不清；安全生产费用被挪用，每次处以罚款5000元～20000元。</w:t>
      </w:r>
    </w:p>
    <w:p>
      <w:pPr>
        <w:pStyle w:val="28"/>
        <w:widowControl/>
        <w:spacing w:line="360" w:lineRule="auto"/>
        <w:rPr>
          <w:rFonts w:ascii="宋体" w:hAnsi="宋体" w:eastAsia="宋体"/>
          <w:sz w:val="24"/>
        </w:rPr>
      </w:pPr>
      <w:r>
        <w:rPr>
          <w:rFonts w:ascii="宋体" w:hAnsi="宋体" w:eastAsia="宋体"/>
          <w:sz w:val="24"/>
        </w:rPr>
        <w:t>7、施工设备管理。进出场设备台账不全，设备进场未报备；特种设备未经验收使用；特种设备检测、验收、维修保养台账不全，每次处以5000元～30000元。</w:t>
      </w:r>
    </w:p>
    <w:p>
      <w:pPr>
        <w:pStyle w:val="28"/>
        <w:widowControl/>
        <w:spacing w:line="360" w:lineRule="auto"/>
        <w:rPr>
          <w:rFonts w:ascii="宋体" w:hAnsi="宋体" w:eastAsia="宋体"/>
          <w:sz w:val="24"/>
        </w:rPr>
      </w:pPr>
      <w:r>
        <w:rPr>
          <w:rFonts w:ascii="宋体" w:hAnsi="宋体" w:eastAsia="宋体"/>
          <w:sz w:val="24"/>
        </w:rPr>
        <w:t>8、消防安全。未制定消防安全责任制度或未确定消防安全责任人；无消防器材使用台账，每次处以罚款5000元。</w:t>
      </w:r>
    </w:p>
    <w:p>
      <w:pPr>
        <w:pStyle w:val="28"/>
        <w:widowControl/>
        <w:spacing w:line="360" w:lineRule="auto"/>
        <w:rPr>
          <w:rFonts w:ascii="宋体" w:hAnsi="宋体" w:eastAsia="宋体"/>
          <w:sz w:val="24"/>
        </w:rPr>
      </w:pPr>
      <w:r>
        <w:rPr>
          <w:rFonts w:ascii="宋体" w:hAnsi="宋体" w:eastAsia="宋体"/>
          <w:sz w:val="24"/>
        </w:rPr>
        <w:t>9、应急管理。未制定应急预案或预案不全，未按要求组织演练；未按规定报告生产安全事故的，每次处以罚款5000元～20000元。</w:t>
      </w:r>
    </w:p>
    <w:p>
      <w:pPr>
        <w:pStyle w:val="28"/>
        <w:widowControl/>
        <w:spacing w:line="360" w:lineRule="auto"/>
        <w:rPr>
          <w:rFonts w:ascii="宋体" w:hAnsi="宋体" w:eastAsia="宋体"/>
          <w:sz w:val="24"/>
        </w:rPr>
      </w:pPr>
      <w:r>
        <w:rPr>
          <w:rFonts w:ascii="宋体" w:hAnsi="宋体" w:eastAsia="宋体"/>
          <w:sz w:val="24"/>
        </w:rPr>
        <w:t>10、施工驻地、生活区、办公场所、生活区未分开，选址有重大风险，装配式房屋无合格证书，驻地用电、消防不满足规范要求，每次处以罚款5000元。</w:t>
      </w:r>
    </w:p>
    <w:p>
      <w:pPr>
        <w:pStyle w:val="28"/>
        <w:widowControl/>
        <w:spacing w:line="360" w:lineRule="auto"/>
        <w:rPr>
          <w:rFonts w:ascii="宋体" w:hAnsi="宋体" w:eastAsia="宋体"/>
          <w:sz w:val="24"/>
        </w:rPr>
      </w:pPr>
    </w:p>
    <w:p>
      <w:pPr>
        <w:pStyle w:val="28"/>
        <w:widowControl/>
        <w:spacing w:line="360" w:lineRule="auto"/>
        <w:rPr>
          <w:rFonts w:ascii="宋体" w:hAnsi="宋体" w:eastAsia="宋体"/>
          <w:sz w:val="24"/>
        </w:rPr>
      </w:pPr>
    </w:p>
    <w:p>
      <w:pPr>
        <w:pStyle w:val="28"/>
        <w:widowControl/>
        <w:spacing w:line="360" w:lineRule="auto"/>
        <w:rPr>
          <w:rFonts w:ascii="宋体" w:hAnsi="宋体" w:eastAsia="宋体"/>
          <w:sz w:val="24"/>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rPr>
          <w:rFonts w:ascii="宋体" w:hAnsi="宋体" w:eastAsia="宋体"/>
          <w:b/>
          <w:bCs/>
          <w:kern w:val="28"/>
          <w:sz w:val="24"/>
          <w:szCs w:val="20"/>
        </w:rPr>
      </w:pPr>
    </w:p>
    <w:p>
      <w:pPr>
        <w:pStyle w:val="28"/>
        <w:widowControl/>
        <w:spacing w:line="360" w:lineRule="auto"/>
        <w:outlineLvl w:val="0"/>
        <w:rPr>
          <w:rFonts w:ascii="宋体" w:hAnsi="宋体" w:eastAsia="宋体"/>
          <w:b/>
          <w:bCs/>
          <w:kern w:val="0"/>
          <w:sz w:val="24"/>
        </w:rPr>
      </w:pPr>
      <w:bookmarkStart w:id="279" w:name="_Toc25130"/>
      <w:r>
        <w:rPr>
          <w:rFonts w:hint="eastAsia" w:ascii="宋体" w:hAnsi="宋体" w:eastAsia="宋体"/>
          <w:b/>
          <w:bCs/>
          <w:kern w:val="0"/>
          <w:sz w:val="24"/>
        </w:rPr>
        <w:t>附件</w:t>
      </w:r>
      <w:r>
        <w:rPr>
          <w:rFonts w:ascii="宋体" w:hAnsi="宋体" w:eastAsia="宋体"/>
          <w:b/>
          <w:bCs/>
          <w:kern w:val="0"/>
          <w:sz w:val="24"/>
        </w:rPr>
        <w:t>8</w:t>
      </w:r>
      <w:bookmarkEnd w:id="279"/>
    </w:p>
    <w:p>
      <w:pPr>
        <w:pStyle w:val="28"/>
        <w:spacing w:line="360" w:lineRule="auto"/>
        <w:jc w:val="center"/>
        <w:rPr>
          <w:rFonts w:ascii="宋体" w:hAnsi="宋体" w:eastAsia="宋体"/>
          <w:b/>
          <w:bCs/>
          <w:sz w:val="24"/>
        </w:rPr>
      </w:pPr>
      <w:r>
        <w:rPr>
          <w:rFonts w:hint="eastAsia" w:ascii="宋体" w:hAnsi="宋体" w:eastAsia="宋体"/>
          <w:b/>
          <w:bCs/>
          <w:sz w:val="24"/>
        </w:rPr>
        <w:t>按时支付工人工资承诺书</w:t>
      </w:r>
    </w:p>
    <w:p>
      <w:pPr>
        <w:pStyle w:val="28"/>
        <w:spacing w:line="360" w:lineRule="auto"/>
        <w:rPr>
          <w:rFonts w:ascii="宋体" w:hAnsi="宋体" w:eastAsia="宋体"/>
          <w:sz w:val="24"/>
        </w:rPr>
      </w:pPr>
      <w:r>
        <w:rPr>
          <w:rFonts w:hint="eastAsia" w:ascii="宋体" w:hAnsi="宋体" w:eastAsia="宋体"/>
          <w:sz w:val="24"/>
        </w:rPr>
        <w:t>致：</w:t>
      </w:r>
      <w:r>
        <w:rPr>
          <w:rFonts w:hint="eastAsia" w:ascii="宋体" w:hAnsi="宋体" w:eastAsia="宋体"/>
          <w:kern w:val="0"/>
          <w:sz w:val="24"/>
          <w:u w:val="single"/>
        </w:rPr>
        <w:t>佛山市三水海江怡乐建设投资有限公司</w:t>
      </w:r>
    </w:p>
    <w:p>
      <w:pPr>
        <w:pStyle w:val="28"/>
        <w:spacing w:line="360" w:lineRule="auto"/>
        <w:ind w:firstLine="480" w:firstLineChars="200"/>
        <w:rPr>
          <w:rFonts w:ascii="宋体" w:hAnsi="宋体" w:eastAsia="宋体"/>
          <w:sz w:val="24"/>
        </w:rPr>
      </w:pPr>
      <w:r>
        <w:rPr>
          <w:rFonts w:hint="eastAsia" w:ascii="宋体" w:hAnsi="宋体" w:eastAsia="宋体"/>
          <w:sz w:val="24"/>
        </w:rPr>
        <w:t>为保护工人的合法权益，不拖欠工人工资，本人</w:t>
      </w:r>
      <w:r>
        <w:rPr>
          <w:rFonts w:ascii="宋体" w:hAnsi="宋体" w:eastAsia="宋体"/>
          <w:sz w:val="24"/>
          <w:u w:val="single"/>
        </w:rPr>
        <w:t xml:space="preserve">  （法定代表人）   </w:t>
      </w:r>
      <w:r>
        <w:rPr>
          <w:rFonts w:hint="eastAsia" w:ascii="宋体" w:hAnsi="宋体" w:eastAsia="宋体"/>
          <w:sz w:val="24"/>
        </w:rPr>
        <w:t>以</w:t>
      </w:r>
      <w:r>
        <w:rPr>
          <w:rFonts w:ascii="宋体" w:hAnsi="宋体" w:eastAsia="宋体"/>
          <w:sz w:val="24"/>
          <w:u w:val="single"/>
        </w:rPr>
        <w:t xml:space="preserve">         （承包人）                  </w:t>
      </w:r>
      <w:r>
        <w:rPr>
          <w:rFonts w:hint="eastAsia" w:ascii="宋体" w:hAnsi="宋体" w:eastAsia="宋体"/>
          <w:sz w:val="24"/>
        </w:rPr>
        <w:t>法定代表人的资格，郑重承诺：</w:t>
      </w:r>
      <w:r>
        <w:rPr>
          <w:rFonts w:ascii="宋体" w:hAnsi="宋体" w:eastAsia="宋体"/>
          <w:sz w:val="24"/>
        </w:rPr>
        <w:t xml:space="preserve"> </w:t>
      </w:r>
    </w:p>
    <w:p>
      <w:pPr>
        <w:pStyle w:val="28"/>
        <w:spacing w:line="360" w:lineRule="auto"/>
        <w:ind w:firstLine="480" w:firstLineChars="200"/>
        <w:rPr>
          <w:rFonts w:ascii="宋体" w:hAnsi="宋体" w:eastAsia="宋体"/>
          <w:sz w:val="24"/>
        </w:rPr>
      </w:pPr>
      <w:r>
        <w:rPr>
          <w:rFonts w:hint="eastAsia" w:ascii="宋体" w:hAnsi="宋体" w:eastAsia="宋体"/>
          <w:sz w:val="24"/>
        </w:rPr>
        <w:t>我单位承建的</w:t>
      </w:r>
      <w:r>
        <w:rPr>
          <w:rFonts w:hint="eastAsia" w:ascii="宋体" w:hAnsi="宋体" w:eastAsia="宋体"/>
          <w:kern w:val="0"/>
          <w:sz w:val="24"/>
          <w:u w:val="single"/>
        </w:rPr>
        <w:t>乐平镇工业园区三丫涌桥工程</w:t>
      </w:r>
      <w:r>
        <w:rPr>
          <w:rFonts w:hint="eastAsia" w:ascii="宋体" w:hAnsi="宋体" w:eastAsia="宋体"/>
          <w:sz w:val="24"/>
        </w:rPr>
        <w:t>，将保证做到：</w:t>
      </w:r>
    </w:p>
    <w:p>
      <w:pPr>
        <w:pStyle w:val="28"/>
        <w:spacing w:line="360" w:lineRule="auto"/>
        <w:ind w:firstLine="480" w:firstLineChars="200"/>
        <w:rPr>
          <w:rFonts w:ascii="宋体" w:hAnsi="宋体" w:eastAsia="宋体"/>
          <w:sz w:val="24"/>
        </w:rPr>
      </w:pPr>
      <w:r>
        <w:rPr>
          <w:rFonts w:ascii="宋体" w:hAnsi="宋体" w:eastAsia="宋体"/>
          <w:sz w:val="24"/>
        </w:rPr>
        <w:t xml:space="preserve">1．按照《劳动法》规定雇佣和使用工人，工资将直接发放给工人本人，保证不发放给“包工头”。 </w:t>
      </w:r>
    </w:p>
    <w:p>
      <w:pPr>
        <w:pStyle w:val="28"/>
        <w:spacing w:line="360" w:lineRule="auto"/>
        <w:ind w:firstLine="480" w:firstLineChars="200"/>
        <w:rPr>
          <w:rFonts w:ascii="宋体" w:hAnsi="宋体" w:eastAsia="宋体"/>
          <w:sz w:val="24"/>
        </w:rPr>
      </w:pPr>
      <w:r>
        <w:rPr>
          <w:rFonts w:ascii="宋体" w:hAnsi="宋体" w:eastAsia="宋体"/>
          <w:sz w:val="24"/>
        </w:rPr>
        <w:t>2．如果发生违反规定拖欠或克扣工人工资行为，造成工人上访，及其它突发事件或公共事件，我单位愿意接受发包人的处罚，同时愿意接受建设行政主管部门依照有关规定作出的其它处罚决定。</w:t>
      </w:r>
    </w:p>
    <w:p>
      <w:pPr>
        <w:pStyle w:val="28"/>
        <w:spacing w:line="360" w:lineRule="auto"/>
        <w:ind w:left="6340" w:leftChars="1200" w:hanging="3700" w:hangingChars="1542"/>
        <w:rPr>
          <w:rFonts w:ascii="宋体" w:hAnsi="宋体" w:eastAsia="宋体"/>
          <w:sz w:val="24"/>
        </w:rPr>
      </w:pPr>
    </w:p>
    <w:p>
      <w:pPr>
        <w:pStyle w:val="28"/>
        <w:spacing w:line="360" w:lineRule="auto"/>
        <w:ind w:left="6340" w:leftChars="1200" w:hanging="3700" w:hangingChars="1542"/>
        <w:rPr>
          <w:rFonts w:ascii="宋体" w:hAnsi="宋体" w:eastAsia="宋体"/>
          <w:sz w:val="24"/>
          <w:u w:val="single"/>
        </w:rPr>
      </w:pPr>
      <w:r>
        <w:rPr>
          <w:rFonts w:hint="eastAsia" w:ascii="宋体" w:hAnsi="宋体" w:eastAsia="宋体"/>
          <w:sz w:val="24"/>
        </w:rPr>
        <w:t>承</w:t>
      </w:r>
      <w:r>
        <w:rPr>
          <w:rFonts w:ascii="宋体" w:hAnsi="宋体" w:eastAsia="宋体"/>
          <w:sz w:val="24"/>
        </w:rPr>
        <w:t xml:space="preserve">  </w:t>
      </w:r>
      <w:r>
        <w:rPr>
          <w:rFonts w:hint="eastAsia" w:ascii="宋体" w:hAnsi="宋体" w:eastAsia="宋体"/>
          <w:sz w:val="24"/>
        </w:rPr>
        <w:t>诺</w:t>
      </w:r>
      <w:r>
        <w:rPr>
          <w:rFonts w:ascii="宋体" w:hAnsi="宋体" w:eastAsia="宋体"/>
          <w:sz w:val="24"/>
        </w:rPr>
        <w:t xml:space="preserve">  </w:t>
      </w:r>
      <w:r>
        <w:rPr>
          <w:rFonts w:hint="eastAsia" w:ascii="宋体" w:hAnsi="宋体" w:eastAsia="宋体"/>
          <w:sz w:val="24"/>
        </w:rPr>
        <w:t>人：</w:t>
      </w:r>
    </w:p>
    <w:p>
      <w:pPr>
        <w:pStyle w:val="28"/>
        <w:spacing w:line="360" w:lineRule="auto"/>
        <w:ind w:left="6340" w:leftChars="1200" w:hanging="3700" w:hangingChars="1542"/>
        <w:rPr>
          <w:rFonts w:ascii="宋体" w:hAnsi="宋体" w:eastAsia="宋体"/>
          <w:sz w:val="24"/>
        </w:rPr>
      </w:pPr>
      <w:r>
        <w:rPr>
          <w:rFonts w:hint="eastAsia" w:ascii="宋体" w:hAnsi="宋体" w:eastAsia="宋体"/>
          <w:sz w:val="24"/>
        </w:rPr>
        <w:t>法定代表人：</w:t>
      </w:r>
    </w:p>
    <w:p>
      <w:pPr>
        <w:pStyle w:val="28"/>
        <w:spacing w:line="360" w:lineRule="auto"/>
        <w:ind w:left="6340" w:leftChars="1200" w:hanging="3700" w:hangingChars="1542"/>
        <w:rPr>
          <w:rFonts w:ascii="宋体" w:hAnsi="宋体" w:eastAsia="宋体"/>
          <w:sz w:val="24"/>
        </w:rPr>
      </w:pPr>
      <w:r>
        <w:rPr>
          <w:rFonts w:hint="eastAsia" w:ascii="宋体" w:hAnsi="宋体" w:eastAsia="宋体"/>
          <w:sz w:val="24"/>
        </w:rPr>
        <w:t>日</w:t>
      </w:r>
      <w:r>
        <w:rPr>
          <w:rFonts w:ascii="宋体" w:hAnsi="宋体" w:eastAsia="宋体"/>
          <w:sz w:val="24"/>
        </w:rPr>
        <w:t xml:space="preserve">      </w:t>
      </w:r>
      <w:r>
        <w:rPr>
          <w:rFonts w:hint="eastAsia" w:ascii="宋体" w:hAnsi="宋体" w:eastAsia="宋体"/>
          <w:sz w:val="24"/>
        </w:rPr>
        <w:t>期：</w:t>
      </w:r>
      <w:r>
        <w:rPr>
          <w:rFonts w:ascii="宋体" w:hAnsi="宋体" w:eastAsia="宋体"/>
          <w:sz w:val="24"/>
        </w:rPr>
        <w:t xml:space="preserve">  </w:t>
      </w:r>
      <w:r>
        <w:rPr>
          <w:rFonts w:hint="eastAsia" w:ascii="宋体" w:hAnsi="宋体" w:eastAsia="宋体"/>
          <w:sz w:val="24"/>
        </w:rPr>
        <w:t>年</w:t>
      </w:r>
      <w:r>
        <w:rPr>
          <w:rFonts w:ascii="宋体" w:hAnsi="宋体" w:eastAsia="宋体"/>
          <w:sz w:val="24"/>
        </w:rPr>
        <w:t xml:space="preserve">   </w:t>
      </w:r>
      <w:r>
        <w:rPr>
          <w:rFonts w:hint="eastAsia" w:ascii="宋体" w:hAnsi="宋体" w:eastAsia="宋体"/>
          <w:sz w:val="24"/>
        </w:rPr>
        <w:t>月</w:t>
      </w:r>
      <w:r>
        <w:rPr>
          <w:rFonts w:ascii="宋体" w:hAnsi="宋体" w:eastAsia="宋体"/>
          <w:sz w:val="24"/>
        </w:rPr>
        <w:t xml:space="preserve">   </w:t>
      </w:r>
      <w:r>
        <w:rPr>
          <w:rFonts w:hint="eastAsia" w:ascii="宋体" w:hAnsi="宋体" w:eastAsia="宋体"/>
          <w:sz w:val="24"/>
        </w:rPr>
        <w:t>日</w:t>
      </w:r>
    </w:p>
    <w:p>
      <w:pPr>
        <w:pStyle w:val="3"/>
        <w:ind w:left="0" w:firstLine="0"/>
        <w:rPr>
          <w:sz w:val="21"/>
          <w:szCs w:val="21"/>
        </w:rPr>
      </w:pPr>
    </w:p>
    <w:p>
      <w:pPr>
        <w:pStyle w:val="3"/>
        <w:ind w:left="0" w:firstLine="0"/>
      </w:pPr>
    </w:p>
    <w:p>
      <w:pPr>
        <w:pStyle w:val="3"/>
        <w:ind w:left="0" w:firstLine="0"/>
      </w:pPr>
    </w:p>
    <w:p>
      <w:pPr>
        <w:pStyle w:val="3"/>
        <w:ind w:left="0" w:firstLine="0"/>
      </w:pPr>
    </w:p>
    <w:p>
      <w:pPr>
        <w:pStyle w:val="3"/>
        <w:ind w:left="0" w:firstLine="0"/>
      </w:pPr>
    </w:p>
    <w:p>
      <w:pPr>
        <w:pStyle w:val="3"/>
        <w:ind w:left="0" w:firstLine="0"/>
      </w:pPr>
    </w:p>
    <w:p>
      <w:pPr>
        <w:jc w:val="center"/>
        <w:rPr>
          <w:b/>
          <w:bCs/>
          <w:sz w:val="52"/>
          <w:szCs w:val="52"/>
          <w:lang w:val="en-US"/>
        </w:rPr>
      </w:pPr>
    </w:p>
    <w:p>
      <w:pPr>
        <w:jc w:val="center"/>
        <w:rPr>
          <w:b/>
          <w:bCs/>
          <w:sz w:val="52"/>
          <w:szCs w:val="52"/>
          <w:lang w:val="en-US"/>
        </w:rPr>
      </w:pPr>
    </w:p>
    <w:p>
      <w:pPr>
        <w:jc w:val="center"/>
        <w:rPr>
          <w:b/>
          <w:bCs/>
          <w:sz w:val="52"/>
          <w:szCs w:val="52"/>
          <w:lang w:val="en-US"/>
        </w:rPr>
      </w:pPr>
    </w:p>
    <w:p>
      <w:pPr>
        <w:jc w:val="both"/>
        <w:rPr>
          <w:b/>
          <w:bCs/>
          <w:sz w:val="52"/>
          <w:szCs w:val="52"/>
          <w:lang w:val="en-US"/>
        </w:rPr>
      </w:pPr>
    </w:p>
    <w:p>
      <w:pPr>
        <w:jc w:val="center"/>
        <w:rPr>
          <w:b/>
          <w:bCs/>
          <w:sz w:val="52"/>
          <w:szCs w:val="52"/>
          <w:lang w:val="en-US"/>
        </w:rPr>
      </w:pPr>
    </w:p>
    <w:p>
      <w:pPr>
        <w:jc w:val="center"/>
        <w:rPr>
          <w:b/>
          <w:bCs/>
          <w:sz w:val="52"/>
          <w:szCs w:val="52"/>
          <w:lang w:val="en-US"/>
        </w:rPr>
      </w:pPr>
    </w:p>
    <w:p>
      <w:pPr>
        <w:jc w:val="center"/>
        <w:rPr>
          <w:b/>
          <w:bCs/>
          <w:sz w:val="52"/>
          <w:szCs w:val="52"/>
          <w:lang w:val="en-US"/>
        </w:rPr>
      </w:pPr>
    </w:p>
    <w:p>
      <w:pPr>
        <w:jc w:val="center"/>
        <w:outlineLvl w:val="0"/>
        <w:rPr>
          <w:b/>
          <w:sz w:val="20"/>
        </w:rPr>
        <w:sectPr>
          <w:footerReference r:id="rId5" w:type="default"/>
          <w:pgSz w:w="11910" w:h="16840"/>
          <w:pgMar w:top="1440" w:right="1080" w:bottom="1440" w:left="1080" w:header="945" w:footer="893" w:gutter="0"/>
          <w:cols w:space="720" w:num="1"/>
        </w:sectPr>
      </w:pPr>
      <w:bookmarkStart w:id="280" w:name="_Toc29743"/>
      <w:r>
        <w:rPr>
          <w:rFonts w:hint="eastAsia"/>
          <w:b/>
          <w:bCs/>
          <w:sz w:val="52"/>
          <w:szCs w:val="52"/>
          <w:lang w:val="en-US"/>
        </w:rPr>
        <w:t>第五部分</w:t>
      </w:r>
      <w:r>
        <w:rPr>
          <w:b/>
          <w:bCs/>
          <w:sz w:val="52"/>
          <w:szCs w:val="52"/>
          <w:lang w:val="en-US"/>
        </w:rPr>
        <w:t xml:space="preserve">   </w:t>
      </w:r>
      <w:r>
        <w:rPr>
          <w:rFonts w:hint="eastAsia"/>
          <w:b/>
          <w:bCs/>
          <w:sz w:val="52"/>
          <w:szCs w:val="52"/>
          <w:lang w:val="en-US"/>
        </w:rPr>
        <w:t>响应文件格式</w:t>
      </w:r>
      <w:bookmarkEnd w:id="200"/>
      <w:bookmarkEnd w:id="201"/>
      <w:bookmarkEnd w:id="202"/>
      <w:bookmarkEnd w:id="203"/>
      <w:bookmarkEnd w:id="204"/>
      <w:bookmarkEnd w:id="205"/>
      <w:bookmarkEnd w:id="280"/>
    </w:p>
    <w:p>
      <w:pPr>
        <w:pStyle w:val="8"/>
        <w:rPr>
          <w:b/>
          <w:sz w:val="20"/>
        </w:rPr>
      </w:pPr>
    </w:p>
    <w:p>
      <w:pPr>
        <w:pStyle w:val="8"/>
        <w:spacing w:before="5"/>
        <w:rPr>
          <w:b/>
          <w:sz w:val="25"/>
        </w:rPr>
      </w:pPr>
    </w:p>
    <w:p>
      <w:pPr>
        <w:pStyle w:val="8"/>
        <w:jc w:val="center"/>
        <w:outlineLvl w:val="1"/>
        <w:rPr>
          <w:b/>
          <w:sz w:val="63"/>
        </w:rPr>
      </w:pPr>
      <w:r>
        <w:rPr>
          <w:rFonts w:hint="eastAsia"/>
          <w:b/>
          <w:sz w:val="63"/>
        </w:rPr>
        <w:t>乐平镇工业园区三丫涌桥工程</w:t>
      </w:r>
    </w:p>
    <w:p>
      <w:pPr>
        <w:pStyle w:val="8"/>
        <w:rPr>
          <w:b/>
          <w:sz w:val="62"/>
        </w:rPr>
      </w:pPr>
    </w:p>
    <w:p>
      <w:pPr>
        <w:pStyle w:val="8"/>
        <w:spacing w:before="9"/>
        <w:rPr>
          <w:b/>
          <w:sz w:val="76"/>
        </w:rPr>
      </w:pPr>
    </w:p>
    <w:p>
      <w:pPr>
        <w:pStyle w:val="11"/>
        <w:spacing w:after="60"/>
        <w:jc w:val="center"/>
        <w:outlineLvl w:val="0"/>
        <w:rPr>
          <w:rFonts w:hAnsi="宋体"/>
          <w:b/>
          <w:w w:val="110"/>
          <w:sz w:val="40"/>
          <w:szCs w:val="32"/>
        </w:rPr>
      </w:pPr>
      <w:bookmarkStart w:id="281" w:name="_Toc26082"/>
      <w:bookmarkStart w:id="282" w:name="_Toc11417"/>
      <w:bookmarkStart w:id="283" w:name="_Toc3977"/>
      <w:bookmarkStart w:id="284" w:name="_Toc31732"/>
      <w:r>
        <w:rPr>
          <w:rFonts w:hint="eastAsia" w:hAnsi="宋体"/>
          <w:b/>
          <w:bCs/>
          <w:sz w:val="40"/>
          <w:szCs w:val="32"/>
        </w:rPr>
        <w:t>响应文件</w:t>
      </w:r>
      <w:r>
        <w:rPr>
          <w:rFonts w:hint="eastAsia" w:hAnsi="宋体"/>
          <w:b/>
          <w:w w:val="110"/>
          <w:kern w:val="0"/>
          <w:sz w:val="40"/>
          <w:szCs w:val="32"/>
        </w:rPr>
        <w:t>格式</w:t>
      </w:r>
      <w:bookmarkEnd w:id="281"/>
      <w:bookmarkEnd w:id="282"/>
      <w:bookmarkEnd w:id="283"/>
      <w:bookmarkEnd w:id="284"/>
    </w:p>
    <w:p>
      <w:pPr>
        <w:pStyle w:val="11"/>
        <w:spacing w:after="60"/>
        <w:jc w:val="center"/>
        <w:outlineLvl w:val="0"/>
        <w:rPr>
          <w:rFonts w:hAnsi="宋体"/>
          <w:b/>
          <w:sz w:val="31"/>
        </w:rPr>
      </w:pPr>
      <w:bookmarkStart w:id="285" w:name="_Toc7409"/>
      <w:bookmarkStart w:id="286" w:name="_Toc2437"/>
      <w:bookmarkStart w:id="287" w:name="_Toc15785"/>
      <w:bookmarkStart w:id="288" w:name="_Toc19647_WPSOffice_Level1"/>
      <w:bookmarkStart w:id="289" w:name="_Toc26201"/>
      <w:r>
        <w:rPr>
          <w:rFonts w:hint="eastAsia" w:hAnsi="宋体"/>
          <w:b/>
          <w:sz w:val="31"/>
        </w:rPr>
        <w:t>（正本</w:t>
      </w:r>
      <w:r>
        <w:rPr>
          <w:rFonts w:hAnsi="宋体"/>
          <w:b/>
          <w:sz w:val="31"/>
        </w:rPr>
        <w:t>/副本）</w:t>
      </w:r>
      <w:bookmarkEnd w:id="285"/>
      <w:bookmarkEnd w:id="286"/>
      <w:bookmarkEnd w:id="287"/>
      <w:bookmarkEnd w:id="288"/>
      <w:bookmarkEnd w:id="289"/>
    </w:p>
    <w:p>
      <w:pPr>
        <w:pStyle w:val="8"/>
        <w:rPr>
          <w:b/>
          <w:sz w:val="30"/>
        </w:rPr>
      </w:pPr>
    </w:p>
    <w:p>
      <w:pPr>
        <w:pStyle w:val="8"/>
        <w:rPr>
          <w:b/>
          <w:sz w:val="30"/>
        </w:rPr>
      </w:pPr>
    </w:p>
    <w:p>
      <w:pPr>
        <w:pStyle w:val="8"/>
        <w:spacing w:before="2"/>
        <w:rPr>
          <w:b/>
          <w:sz w:val="39"/>
        </w:rPr>
      </w:pPr>
    </w:p>
    <w:p>
      <w:pPr>
        <w:ind w:left="2363"/>
        <w:outlineLvl w:val="0"/>
        <w:rPr>
          <w:b/>
          <w:sz w:val="31"/>
        </w:rPr>
      </w:pPr>
      <w:bookmarkStart w:id="290" w:name="_Toc25164"/>
      <w:bookmarkStart w:id="291" w:name="_Toc26827"/>
      <w:bookmarkStart w:id="292" w:name="_Toc19977_WPSOffice_Level1"/>
      <w:r>
        <w:rPr>
          <w:rFonts w:hint="eastAsia"/>
          <w:b/>
          <w:sz w:val="31"/>
        </w:rPr>
        <w:t>采购项目编号：</w:t>
      </w:r>
      <w:bookmarkEnd w:id="290"/>
      <w:bookmarkEnd w:id="291"/>
      <w:bookmarkEnd w:id="292"/>
      <w:r>
        <w:rPr>
          <w:b/>
          <w:sz w:val="31"/>
        </w:rPr>
        <w:t xml:space="preserve"> </w:t>
      </w:r>
    </w:p>
    <w:p>
      <w:pPr>
        <w:pStyle w:val="8"/>
        <w:rPr>
          <w:b/>
          <w:sz w:val="30"/>
        </w:rPr>
      </w:pPr>
    </w:p>
    <w:p>
      <w:pPr>
        <w:pStyle w:val="8"/>
        <w:spacing w:before="1"/>
        <w:rPr>
          <w:b/>
          <w:sz w:val="41"/>
        </w:rPr>
      </w:pPr>
    </w:p>
    <w:p>
      <w:pPr>
        <w:ind w:left="2363"/>
        <w:rPr>
          <w:b/>
          <w:sz w:val="31"/>
        </w:rPr>
      </w:pPr>
      <w:r>
        <w:rPr>
          <w:lang w:val="en-US" w:bidi="ar-SA"/>
        </w:rPr>
        <mc:AlternateContent>
          <mc:Choice Requires="wps">
            <w:drawing>
              <wp:anchor distT="0" distB="0" distL="114300" distR="114300" simplePos="0" relativeHeight="251664384" behindDoc="0" locked="0" layoutInCell="1" allowOverlap="1">
                <wp:simplePos x="0" y="0"/>
                <wp:positionH relativeFrom="page">
                  <wp:posOffset>3756025</wp:posOffset>
                </wp:positionH>
                <wp:positionV relativeFrom="paragraph">
                  <wp:posOffset>227965</wp:posOffset>
                </wp:positionV>
                <wp:extent cx="1581785" cy="0"/>
                <wp:effectExtent l="0" t="0" r="0" b="0"/>
                <wp:wrapNone/>
                <wp:docPr id="17" name="直线 78"/>
                <wp:cNvGraphicFramePr/>
                <a:graphic xmlns:a="http://schemas.openxmlformats.org/drawingml/2006/main">
                  <a:graphicData uri="http://schemas.microsoft.com/office/word/2010/wordprocessingShape">
                    <wps:wsp>
                      <wps:cNvCnPr/>
                      <wps:spPr>
                        <a:xfrm>
                          <a:off x="0" y="0"/>
                          <a:ext cx="158178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78" o:spid="_x0000_s1026" o:spt="20" style="position:absolute;left:0pt;margin-left:295.75pt;margin-top:17.95pt;height:0pt;width:124.55pt;mso-position-horizontal-relative:page;z-index:251664384;mso-width-relative:page;mso-height-relative:page;" filled="f" stroked="t" coordsize="21600,21600" o:gfxdata="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w6f+dkAAAAJ&#10;AQAADwAAAAAAAAABACAAAAAiAAAAZHJzL2Rvd25yZXYueG1sUEsBAhQAFAAAAAgAh07iQE5wuj7i&#10;AQAA0gMAAA4AAAAAAAAAAQAgAAAAKAEAAGRycy9lMm9Eb2MueG1sUEsFBgAAAAAGAAYAWQEAAHwF&#10;AAAAAA==&#10;">
                <v:fill on="f" focussize="0,0"/>
                <v:stroke weight="0.84pt" color="#000000" joinstyle="round"/>
                <v:imagedata o:title=""/>
                <o:lock v:ext="edit" aspectratio="f"/>
              </v:line>
            </w:pict>
          </mc:Fallback>
        </mc:AlternateContent>
      </w:r>
      <w:r>
        <w:rPr>
          <w:rFonts w:hint="eastAsia"/>
          <w:b/>
          <w:sz w:val="31"/>
        </w:rPr>
        <w:t>响应供应商名称：</w:t>
      </w:r>
    </w:p>
    <w:p>
      <w:pPr>
        <w:pStyle w:val="8"/>
        <w:rPr>
          <w:b/>
          <w:sz w:val="20"/>
        </w:rPr>
      </w:pPr>
    </w:p>
    <w:p>
      <w:pPr>
        <w:pStyle w:val="8"/>
        <w:rPr>
          <w:b/>
          <w:sz w:val="20"/>
        </w:rPr>
      </w:pPr>
    </w:p>
    <w:p>
      <w:pPr>
        <w:pStyle w:val="8"/>
        <w:rPr>
          <w:b/>
          <w:sz w:val="20"/>
        </w:rPr>
      </w:pPr>
    </w:p>
    <w:p>
      <w:pPr>
        <w:spacing w:before="203"/>
        <w:ind w:left="358"/>
        <w:rPr>
          <w:b/>
          <w:sz w:val="31"/>
        </w:rPr>
      </w:pPr>
      <w:r>
        <w:rPr>
          <w:lang w:val="en-US" w:bidi="ar-SA"/>
        </w:rPr>
        <mc:AlternateContent>
          <mc:Choice Requires="wps">
            <w:drawing>
              <wp:anchor distT="0" distB="0" distL="114300" distR="114300" simplePos="0" relativeHeight="251666432" behindDoc="0" locked="0" layoutInCell="1" allowOverlap="1">
                <wp:simplePos x="0" y="0"/>
                <wp:positionH relativeFrom="page">
                  <wp:posOffset>4884420</wp:posOffset>
                </wp:positionH>
                <wp:positionV relativeFrom="paragraph">
                  <wp:posOffset>346075</wp:posOffset>
                </wp:positionV>
                <wp:extent cx="1185545" cy="0"/>
                <wp:effectExtent l="0" t="0" r="0" b="0"/>
                <wp:wrapNone/>
                <wp:docPr id="18" name="直线 79"/>
                <wp:cNvGraphicFramePr/>
                <a:graphic xmlns:a="http://schemas.openxmlformats.org/drawingml/2006/main">
                  <a:graphicData uri="http://schemas.microsoft.com/office/word/2010/wordprocessingShape">
                    <wps:wsp>
                      <wps:cNvCnPr/>
                      <wps:spPr>
                        <a:xfrm>
                          <a:off x="0" y="0"/>
                          <a:ext cx="1185545" cy="0"/>
                        </a:xfrm>
                        <a:prstGeom prst="line">
                          <a:avLst/>
                        </a:prstGeom>
                        <a:ln w="10668" cap="flat" cmpd="sng">
                          <a:solidFill>
                            <a:srgbClr val="000000"/>
                          </a:solidFill>
                          <a:prstDash val="solid"/>
                          <a:headEnd type="none" w="med" len="med"/>
                          <a:tailEnd type="none" w="med" len="med"/>
                        </a:ln>
                      </wps:spPr>
                      <wps:bodyPr/>
                    </wps:wsp>
                  </a:graphicData>
                </a:graphic>
              </wp:anchor>
            </w:drawing>
          </mc:Choice>
          <mc:Fallback>
            <w:pict>
              <v:line id="直线 79" o:spid="_x0000_s1026" o:spt="20" style="position:absolute;left:0pt;margin-left:384.6pt;margin-top:27.25pt;height:0pt;width:93.35pt;mso-position-horizontal-relative:page;z-index:251666432;mso-width-relative:page;mso-height-relative:page;" filled="f" stroked="t" coordsize="21600,21600" o:gfxdata="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IfhZdkAAAAJ&#10;AQAADwAAAAAAAAABACAAAAAiAAAAZHJzL2Rvd25yZXYueG1sUEsBAhQAFAAAAAgAh07iQBYNPuni&#10;AQAA0gMAAA4AAAAAAAAAAQAgAAAAKAEAAGRycy9lMm9Eb2MueG1sUEsFBgAAAAAGAAYAWQEAAHwF&#10;AAAAAA==&#10;">
                <v:fill on="f" focussize="0,0"/>
                <v:stroke weight="0.84pt" color="#000000" joinstyle="round"/>
                <v:imagedata o:title=""/>
                <o:lock v:ext="edit" aspectratio="f"/>
              </v:line>
            </w:pict>
          </mc:Fallback>
        </mc:AlternateContent>
      </w:r>
      <w:r>
        <w:rPr>
          <w:rFonts w:hint="eastAsia"/>
          <w:b/>
          <w:sz w:val="31"/>
        </w:rPr>
        <w:t>响应供应商法定代表人</w:t>
      </w:r>
      <w:r>
        <w:rPr>
          <w:b/>
          <w:sz w:val="31"/>
        </w:rPr>
        <w:t>/法定代表人授权代表：</w:t>
      </w:r>
    </w:p>
    <w:p>
      <w:pPr>
        <w:pStyle w:val="8"/>
        <w:rPr>
          <w:b/>
          <w:sz w:val="20"/>
        </w:rPr>
      </w:pPr>
    </w:p>
    <w:p>
      <w:pPr>
        <w:pStyle w:val="8"/>
        <w:rPr>
          <w:b/>
          <w:sz w:val="20"/>
        </w:rPr>
      </w:pPr>
    </w:p>
    <w:p>
      <w:pPr>
        <w:pStyle w:val="8"/>
        <w:rPr>
          <w:b/>
          <w:sz w:val="20"/>
        </w:rPr>
      </w:pPr>
    </w:p>
    <w:p>
      <w:pPr>
        <w:tabs>
          <w:tab w:val="left" w:pos="3983"/>
          <w:tab w:val="left" w:pos="5308"/>
          <w:tab w:val="left" w:pos="6633"/>
        </w:tabs>
        <w:spacing w:before="191"/>
        <w:ind w:left="2161"/>
        <w:outlineLvl w:val="0"/>
        <w:rPr>
          <w:b/>
          <w:sz w:val="33"/>
        </w:rPr>
      </w:pPr>
      <w:bookmarkStart w:id="293" w:name="_Toc20857"/>
      <w:bookmarkStart w:id="294" w:name="_Toc15702_WPSOffice_Level1"/>
      <w:bookmarkStart w:id="295" w:name="_Toc546"/>
      <w:r>
        <w:rPr>
          <w:rFonts w:hint="eastAsia"/>
          <w:b/>
          <w:sz w:val="33"/>
        </w:rPr>
        <w:t>日期：</w:t>
      </w:r>
      <w:r>
        <w:rPr>
          <w:b/>
          <w:sz w:val="33"/>
        </w:rPr>
        <w:tab/>
      </w:r>
      <w:r>
        <w:rPr>
          <w:rFonts w:hint="eastAsia"/>
          <w:b/>
          <w:sz w:val="33"/>
        </w:rPr>
        <w:t>年</w:t>
      </w:r>
      <w:r>
        <w:rPr>
          <w:b/>
          <w:sz w:val="33"/>
        </w:rPr>
        <w:tab/>
      </w:r>
      <w:r>
        <w:rPr>
          <w:rFonts w:hint="eastAsia"/>
          <w:b/>
          <w:sz w:val="33"/>
        </w:rPr>
        <w:t>月</w:t>
      </w:r>
      <w:r>
        <w:rPr>
          <w:b/>
          <w:sz w:val="33"/>
        </w:rPr>
        <w:tab/>
      </w:r>
      <w:r>
        <w:rPr>
          <w:rFonts w:hint="eastAsia"/>
          <w:b/>
          <w:sz w:val="33"/>
        </w:rPr>
        <w:t>日</w:t>
      </w:r>
      <w:bookmarkEnd w:id="293"/>
      <w:bookmarkEnd w:id="294"/>
      <w:bookmarkEnd w:id="295"/>
    </w:p>
    <w:p>
      <w:pPr>
        <w:pStyle w:val="8"/>
        <w:rPr>
          <w:b/>
          <w:sz w:val="20"/>
        </w:rPr>
      </w:pPr>
    </w:p>
    <w:p>
      <w:pPr>
        <w:pStyle w:val="8"/>
        <w:rPr>
          <w:b/>
          <w:sz w:val="20"/>
        </w:rPr>
      </w:pPr>
    </w:p>
    <w:p>
      <w:pPr>
        <w:pStyle w:val="8"/>
        <w:rPr>
          <w:b/>
          <w:sz w:val="20"/>
        </w:rPr>
      </w:pPr>
    </w:p>
    <w:p>
      <w:pPr>
        <w:pStyle w:val="8"/>
        <w:spacing w:before="4"/>
        <w:rPr>
          <w:b/>
          <w:sz w:val="24"/>
        </w:rPr>
      </w:pPr>
    </w:p>
    <w:p>
      <w:pPr>
        <w:spacing w:after="60" w:line="360" w:lineRule="auto"/>
        <w:ind w:left="552" w:hanging="552" w:hangingChars="250"/>
        <w:rPr>
          <w:b/>
          <w:szCs w:val="21"/>
        </w:rPr>
      </w:pPr>
      <w:r>
        <w:rPr>
          <w:rFonts w:hint="eastAsia"/>
          <w:b/>
          <w:szCs w:val="21"/>
        </w:rPr>
        <w:t>注：请供应商按照以下文件的顺序、格式要求、内容制作</w:t>
      </w:r>
      <w:r>
        <w:rPr>
          <w:rFonts w:hint="eastAsia"/>
          <w:b/>
          <w:szCs w:val="21"/>
          <w:lang w:val="en-US"/>
        </w:rPr>
        <w:t>响应</w:t>
      </w:r>
      <w:r>
        <w:rPr>
          <w:rFonts w:hint="eastAsia"/>
          <w:b/>
          <w:szCs w:val="21"/>
        </w:rPr>
        <w:t>文件，并请编制目录及页码，否则可能</w:t>
      </w:r>
    </w:p>
    <w:p>
      <w:pPr>
        <w:spacing w:after="60" w:line="360" w:lineRule="auto"/>
        <w:ind w:left="550" w:leftChars="200" w:hanging="110" w:hangingChars="50"/>
        <w:rPr>
          <w:b/>
          <w:szCs w:val="21"/>
        </w:rPr>
      </w:pPr>
      <w:r>
        <w:rPr>
          <w:rFonts w:hint="eastAsia"/>
          <w:b/>
          <w:szCs w:val="21"/>
        </w:rPr>
        <w:t>将影响对</w:t>
      </w:r>
      <w:r>
        <w:rPr>
          <w:rFonts w:hint="eastAsia"/>
          <w:b/>
          <w:szCs w:val="21"/>
          <w:lang w:val="en-US"/>
        </w:rPr>
        <w:t>响应</w:t>
      </w:r>
      <w:r>
        <w:rPr>
          <w:rFonts w:hint="eastAsia"/>
          <w:b/>
          <w:szCs w:val="21"/>
        </w:rPr>
        <w:t>文件的评价，由此带来的后果由供应商承担。</w:t>
      </w:r>
    </w:p>
    <w:p>
      <w:r>
        <w:br w:type="page"/>
      </w:r>
    </w:p>
    <w:p>
      <w:pPr>
        <w:pStyle w:val="4"/>
        <w:spacing w:before="240" w:beforeLines="100" w:after="60" w:afterLines="25" w:line="360" w:lineRule="auto"/>
        <w:ind w:right="96"/>
        <w:jc w:val="left"/>
        <w:rPr>
          <w:sz w:val="14"/>
        </w:rPr>
      </w:pPr>
      <w:bookmarkStart w:id="296" w:name="_Toc7175_WPSOffice_Level2"/>
      <w:bookmarkStart w:id="297" w:name="_Toc23971"/>
      <w:bookmarkStart w:id="298" w:name="_Toc1242"/>
      <w:bookmarkStart w:id="299" w:name="_Toc12656"/>
      <w:bookmarkStart w:id="300" w:name="_Toc10616"/>
      <w:bookmarkStart w:id="301" w:name="_Toc26539"/>
      <w:bookmarkStart w:id="302" w:name="_Toc4301"/>
      <w:bookmarkStart w:id="303" w:name="_Toc17742"/>
      <w:r>
        <w:rPr>
          <w:rFonts w:hint="eastAsia"/>
          <w:sz w:val="21"/>
          <w:szCs w:val="21"/>
        </w:rPr>
        <w:t>一、自查表</w:t>
      </w:r>
      <w:bookmarkEnd w:id="296"/>
      <w:bookmarkEnd w:id="297"/>
      <w:bookmarkEnd w:id="298"/>
      <w:bookmarkEnd w:id="299"/>
      <w:bookmarkEnd w:id="300"/>
      <w:bookmarkEnd w:id="301"/>
      <w:bookmarkEnd w:id="302"/>
      <w:bookmarkEnd w:id="303"/>
    </w:p>
    <w:p>
      <w:pPr>
        <w:pStyle w:val="43"/>
        <w:tabs>
          <w:tab w:val="left" w:pos="4219"/>
        </w:tabs>
        <w:spacing w:before="71"/>
        <w:ind w:left="3848" w:firstLine="0"/>
        <w:outlineLvl w:val="1"/>
        <w:rPr>
          <w:b/>
          <w:sz w:val="21"/>
        </w:rPr>
      </w:pPr>
      <w:bookmarkStart w:id="304" w:name="_Toc17536_WPSOffice_Level3"/>
      <w:bookmarkStart w:id="305" w:name="_Toc29605"/>
      <w:bookmarkStart w:id="306" w:name="_Toc9662"/>
      <w:r>
        <w:rPr>
          <w:b/>
          <w:sz w:val="21"/>
          <w:lang w:val="en-US"/>
        </w:rPr>
        <w:t xml:space="preserve">1.1 </w:t>
      </w:r>
      <w:r>
        <w:rPr>
          <w:rFonts w:hint="eastAsia"/>
          <w:b/>
          <w:sz w:val="21"/>
          <w:lang w:val="en-US"/>
        </w:rPr>
        <w:t>资格性和符合性</w:t>
      </w:r>
      <w:r>
        <w:rPr>
          <w:rFonts w:hint="eastAsia"/>
          <w:b/>
          <w:sz w:val="21"/>
        </w:rPr>
        <w:t>自查表</w:t>
      </w:r>
      <w:bookmarkEnd w:id="304"/>
      <w:bookmarkEnd w:id="305"/>
      <w:bookmarkEnd w:id="306"/>
    </w:p>
    <w:p>
      <w:pPr>
        <w:pStyle w:val="8"/>
        <w:rPr>
          <w:sz w:val="20"/>
        </w:rPr>
      </w:pPr>
    </w:p>
    <w:p>
      <w:pPr>
        <w:pStyle w:val="8"/>
        <w:spacing w:before="7"/>
        <w:rPr>
          <w:sz w:val="12"/>
        </w:rPr>
      </w:pPr>
    </w:p>
    <w:tbl>
      <w:tblPr>
        <w:tblStyle w:val="18"/>
        <w:tblW w:w="8876" w:type="dxa"/>
        <w:tblInd w:w="357" w:type="dxa"/>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Layout w:type="fixed"/>
        <w:tblCellMar>
          <w:top w:w="0" w:type="dxa"/>
          <w:left w:w="0" w:type="dxa"/>
          <w:bottom w:w="0" w:type="dxa"/>
          <w:right w:w="0" w:type="dxa"/>
        </w:tblCellMar>
      </w:tblPr>
      <w:tblGrid>
        <w:gridCol w:w="536"/>
        <w:gridCol w:w="4410"/>
        <w:gridCol w:w="1845"/>
        <w:gridCol w:w="2085"/>
      </w:tblGrid>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354" w:hRule="atLeast"/>
        </w:trPr>
        <w:tc>
          <w:tcPr>
            <w:tcW w:w="4946" w:type="dxa"/>
            <w:gridSpan w:val="2"/>
            <w:tcBorders>
              <w:left w:val="single" w:color="000000" w:sz="4" w:space="0"/>
              <w:bottom w:val="single" w:color="000000" w:sz="4" w:space="0"/>
              <w:right w:val="single" w:color="auto" w:sz="4" w:space="0"/>
            </w:tcBorders>
          </w:tcPr>
          <w:p>
            <w:pPr>
              <w:jc w:val="center"/>
              <w:rPr>
                <w:kern w:val="2"/>
                <w:sz w:val="21"/>
                <w:szCs w:val="21"/>
              </w:rPr>
            </w:pPr>
            <w:r>
              <w:rPr>
                <w:rFonts w:hint="eastAsia"/>
                <w:kern w:val="2"/>
                <w:sz w:val="21"/>
                <w:szCs w:val="21"/>
              </w:rPr>
              <w:t>评审内容</w:t>
            </w:r>
          </w:p>
        </w:tc>
        <w:tc>
          <w:tcPr>
            <w:tcW w:w="1845" w:type="dxa"/>
            <w:tcBorders>
              <w:left w:val="single" w:color="auto" w:sz="4" w:space="0"/>
              <w:bottom w:val="single" w:color="000000" w:sz="4" w:space="0"/>
              <w:right w:val="single" w:color="000000" w:sz="4" w:space="0"/>
            </w:tcBorders>
          </w:tcPr>
          <w:p>
            <w:pPr>
              <w:jc w:val="center"/>
              <w:rPr>
                <w:kern w:val="2"/>
                <w:sz w:val="21"/>
                <w:szCs w:val="21"/>
              </w:rPr>
            </w:pPr>
            <w:r>
              <w:rPr>
                <w:rFonts w:hint="eastAsia"/>
                <w:kern w:val="2"/>
                <w:sz w:val="21"/>
                <w:szCs w:val="21"/>
              </w:rPr>
              <w:t>自查结论</w:t>
            </w:r>
          </w:p>
        </w:tc>
        <w:tc>
          <w:tcPr>
            <w:tcW w:w="2085" w:type="dxa"/>
            <w:tcBorders>
              <w:left w:val="single" w:color="000000" w:sz="4" w:space="0"/>
              <w:bottom w:val="single" w:color="000000" w:sz="4" w:space="0"/>
              <w:right w:val="single" w:color="000000" w:sz="4" w:space="0"/>
            </w:tcBorders>
          </w:tcPr>
          <w:p>
            <w:pPr>
              <w:jc w:val="center"/>
              <w:rPr>
                <w:kern w:val="2"/>
                <w:sz w:val="21"/>
                <w:szCs w:val="21"/>
              </w:rPr>
            </w:pPr>
            <w:r>
              <w:rPr>
                <w:rFonts w:hint="eastAsia"/>
                <w:kern w:val="2"/>
                <w:sz w:val="21"/>
                <w:szCs w:val="21"/>
              </w:rPr>
              <w:t>证明资料</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407" w:hRule="atLeast"/>
        </w:trPr>
        <w:tc>
          <w:tcPr>
            <w:tcW w:w="536" w:type="dxa"/>
            <w:vMerge w:val="restart"/>
            <w:tcBorders>
              <w:top w:val="single" w:color="000000" w:sz="4" w:space="0"/>
              <w:left w:val="single" w:color="000000" w:sz="4" w:space="0"/>
              <w:right w:val="single" w:color="auto" w:sz="4" w:space="0"/>
            </w:tcBorders>
          </w:tcPr>
          <w:p>
            <w:pPr>
              <w:rPr>
                <w:kern w:val="2"/>
                <w:sz w:val="21"/>
                <w:szCs w:val="21"/>
              </w:rPr>
            </w:pPr>
          </w:p>
          <w:p>
            <w:pPr>
              <w:rPr>
                <w:kern w:val="2"/>
                <w:sz w:val="21"/>
                <w:szCs w:val="21"/>
              </w:rPr>
            </w:pPr>
          </w:p>
          <w:p>
            <w:pPr>
              <w:rPr>
                <w:kern w:val="2"/>
                <w:sz w:val="21"/>
                <w:szCs w:val="21"/>
              </w:rPr>
            </w:pPr>
          </w:p>
          <w:p>
            <w:pPr>
              <w:rPr>
                <w:kern w:val="2"/>
                <w:sz w:val="21"/>
                <w:szCs w:val="21"/>
              </w:rPr>
            </w:pPr>
          </w:p>
          <w:p>
            <w:pPr>
              <w:rPr>
                <w:kern w:val="2"/>
                <w:sz w:val="21"/>
                <w:szCs w:val="21"/>
              </w:rPr>
            </w:pPr>
          </w:p>
          <w:p>
            <w:pPr>
              <w:rPr>
                <w:kern w:val="2"/>
                <w:sz w:val="21"/>
                <w:szCs w:val="21"/>
              </w:rPr>
            </w:pPr>
          </w:p>
          <w:p>
            <w:pPr>
              <w:rPr>
                <w:kern w:val="2"/>
                <w:sz w:val="21"/>
                <w:szCs w:val="21"/>
              </w:rPr>
            </w:pPr>
          </w:p>
          <w:p>
            <w:pPr>
              <w:rPr>
                <w:kern w:val="2"/>
                <w:sz w:val="21"/>
                <w:szCs w:val="21"/>
              </w:rPr>
            </w:pPr>
          </w:p>
          <w:p>
            <w:pPr>
              <w:rPr>
                <w:kern w:val="2"/>
                <w:sz w:val="21"/>
                <w:szCs w:val="21"/>
              </w:rPr>
            </w:pPr>
          </w:p>
          <w:p>
            <w:pPr>
              <w:rPr>
                <w:kern w:val="2"/>
                <w:sz w:val="21"/>
                <w:szCs w:val="21"/>
              </w:rPr>
            </w:pPr>
          </w:p>
          <w:p>
            <w:pPr>
              <w:rPr>
                <w:kern w:val="2"/>
                <w:sz w:val="21"/>
                <w:szCs w:val="21"/>
              </w:rPr>
            </w:pPr>
          </w:p>
          <w:p>
            <w:pPr>
              <w:rPr>
                <w:kern w:val="2"/>
                <w:sz w:val="21"/>
                <w:szCs w:val="21"/>
              </w:rPr>
            </w:pPr>
          </w:p>
          <w:p>
            <w:pPr>
              <w:rPr>
                <w:kern w:val="2"/>
                <w:sz w:val="21"/>
                <w:szCs w:val="21"/>
              </w:rPr>
            </w:pPr>
          </w:p>
          <w:p>
            <w:pPr>
              <w:rPr>
                <w:kern w:val="2"/>
                <w:sz w:val="21"/>
                <w:szCs w:val="21"/>
              </w:rPr>
            </w:pPr>
          </w:p>
          <w:p>
            <w:pPr>
              <w:rPr>
                <w:kern w:val="2"/>
                <w:sz w:val="21"/>
                <w:szCs w:val="21"/>
              </w:rPr>
            </w:pPr>
          </w:p>
          <w:p>
            <w:pPr>
              <w:rPr>
                <w:kern w:val="2"/>
                <w:sz w:val="21"/>
                <w:szCs w:val="21"/>
              </w:rPr>
            </w:pPr>
          </w:p>
          <w:p>
            <w:pPr>
              <w:jc w:val="center"/>
              <w:rPr>
                <w:kern w:val="2"/>
                <w:sz w:val="21"/>
                <w:szCs w:val="21"/>
              </w:rPr>
            </w:pPr>
            <w:r>
              <w:rPr>
                <w:rFonts w:hint="eastAsia"/>
                <w:kern w:val="2"/>
                <w:sz w:val="21"/>
                <w:szCs w:val="21"/>
              </w:rPr>
              <w:t>资</w:t>
            </w:r>
          </w:p>
          <w:p>
            <w:pPr>
              <w:jc w:val="center"/>
              <w:rPr>
                <w:kern w:val="2"/>
                <w:sz w:val="21"/>
                <w:szCs w:val="21"/>
              </w:rPr>
            </w:pPr>
            <w:r>
              <w:rPr>
                <w:rFonts w:hint="eastAsia"/>
                <w:kern w:val="2"/>
                <w:sz w:val="21"/>
                <w:szCs w:val="21"/>
              </w:rPr>
              <w:t>格</w:t>
            </w:r>
          </w:p>
          <w:p>
            <w:pPr>
              <w:jc w:val="center"/>
              <w:rPr>
                <w:kern w:val="2"/>
                <w:sz w:val="21"/>
                <w:szCs w:val="21"/>
              </w:rPr>
            </w:pPr>
            <w:r>
              <w:rPr>
                <w:rFonts w:hint="eastAsia"/>
                <w:kern w:val="2"/>
                <w:sz w:val="21"/>
                <w:szCs w:val="21"/>
              </w:rPr>
              <w:t>性</w:t>
            </w:r>
          </w:p>
          <w:p>
            <w:pPr>
              <w:jc w:val="center"/>
              <w:rPr>
                <w:kern w:val="2"/>
                <w:sz w:val="21"/>
                <w:szCs w:val="21"/>
              </w:rPr>
            </w:pPr>
            <w:r>
              <w:rPr>
                <w:rFonts w:hint="eastAsia"/>
                <w:kern w:val="2"/>
                <w:sz w:val="21"/>
                <w:szCs w:val="21"/>
              </w:rPr>
              <w:t>审</w:t>
            </w:r>
          </w:p>
          <w:p>
            <w:pPr>
              <w:jc w:val="center"/>
              <w:rPr>
                <w:kern w:val="2"/>
                <w:sz w:val="21"/>
                <w:szCs w:val="21"/>
              </w:rPr>
            </w:pPr>
            <w:r>
              <w:rPr>
                <w:rFonts w:hint="eastAsia"/>
                <w:kern w:val="2"/>
                <w:sz w:val="21"/>
                <w:szCs w:val="21"/>
              </w:rPr>
              <w:t>查</w:t>
            </w: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磋商函</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456"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法定代表人</w:t>
            </w:r>
            <w:r>
              <w:rPr>
                <w:kern w:val="2"/>
                <w:sz w:val="21"/>
                <w:szCs w:val="21"/>
              </w:rPr>
              <w:t>/负责人资格证明书</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401"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法定代表人</w:t>
            </w:r>
            <w:r>
              <w:rPr>
                <w:kern w:val="2"/>
                <w:sz w:val="21"/>
                <w:szCs w:val="21"/>
              </w:rPr>
              <w:t>/负责人授权委托书</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418"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关于资格的声明函</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768"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法人或者其他组织的营业执照等证明文件</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783"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良好的商业信誉和健全的财务会计制度，依法缴纳税收和社会保障资金的相关材料</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768"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具备履行合同所必须的设备和专业技术能力的证明材料</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741"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参加采购活动前</w:t>
            </w:r>
            <w:r>
              <w:rPr>
                <w:kern w:val="2"/>
                <w:sz w:val="21"/>
                <w:szCs w:val="21"/>
              </w:rPr>
              <w:t>3年内在经营活动中没有重大违法记录的书面声明</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523"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具备法律、行政法规规定的其他条件的证明材料</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785"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spacing w:after="60" w:afterLines="25"/>
              <w:rPr>
                <w:kern w:val="2"/>
                <w:sz w:val="21"/>
                <w:szCs w:val="21"/>
              </w:rPr>
            </w:pPr>
            <w:r>
              <w:rPr>
                <w:rFonts w:hint="eastAsia"/>
                <w:sz w:val="21"/>
                <w:szCs w:val="21"/>
              </w:rPr>
              <w:t>供应商须具有有效的建设行政主管部门核发的</w:t>
            </w:r>
            <w:r>
              <w:rPr>
                <w:rFonts w:hint="eastAsia"/>
                <w:sz w:val="21"/>
                <w:szCs w:val="21"/>
                <w:lang w:val="en-US"/>
              </w:rPr>
              <w:t>市政公用</w:t>
            </w:r>
            <w:r>
              <w:rPr>
                <w:rFonts w:hint="eastAsia"/>
                <w:sz w:val="21"/>
                <w:szCs w:val="21"/>
              </w:rPr>
              <w:t>工程</w:t>
            </w:r>
            <w:r>
              <w:rPr>
                <w:rFonts w:hint="eastAsia"/>
                <w:sz w:val="21"/>
                <w:szCs w:val="21"/>
                <w:lang w:val="en-US"/>
              </w:rPr>
              <w:t>施工总</w:t>
            </w:r>
            <w:r>
              <w:rPr>
                <w:rFonts w:hint="eastAsia"/>
                <w:sz w:val="21"/>
                <w:szCs w:val="21"/>
              </w:rPr>
              <w:t>承包二级（或以上）资质；</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823"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lang w:val="en-US"/>
              </w:rPr>
            </w:pPr>
            <w:r>
              <w:rPr>
                <w:rFonts w:hint="eastAsia"/>
                <w:kern w:val="2"/>
                <w:sz w:val="21"/>
                <w:szCs w:val="21"/>
                <w:lang w:val="en-US"/>
              </w:rPr>
              <w:t>供应商具备建设行政主管部门颁发的有效《安全生产许可证》</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2059"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vAlign w:val="center"/>
          </w:tcPr>
          <w:p>
            <w:pPr>
              <w:spacing w:after="60" w:afterLines="25" w:line="312" w:lineRule="auto"/>
              <w:rPr>
                <w:kern w:val="2"/>
                <w:sz w:val="21"/>
                <w:szCs w:val="21"/>
              </w:rPr>
            </w:pPr>
            <w:r>
              <w:rPr>
                <w:rFonts w:hint="eastAsia"/>
                <w:sz w:val="21"/>
                <w:szCs w:val="21"/>
                <w:lang w:val="en-US"/>
              </w:rPr>
              <w:t>供应商应有良好信誉，且持有佛山市建筑诚信评价体系管理平台中办理登记并获得对应行业的有效的建筑行业诚信档案，佛山市建筑诚信评价体系管理平台的考评等级为</w:t>
            </w:r>
            <w:r>
              <w:rPr>
                <w:sz w:val="21"/>
                <w:szCs w:val="21"/>
                <w:lang w:val="en-US"/>
              </w:rPr>
              <w:t>D</w:t>
            </w:r>
            <w:r>
              <w:rPr>
                <w:rFonts w:hint="eastAsia"/>
                <w:sz w:val="21"/>
                <w:szCs w:val="21"/>
                <w:lang w:val="en-US"/>
              </w:rPr>
              <w:t>级或以上且状态显示为“正常”（以资格审查当天的查询结果为准）；</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1746"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vAlign w:val="center"/>
          </w:tcPr>
          <w:p>
            <w:pPr>
              <w:spacing w:after="60" w:afterLines="25" w:line="312" w:lineRule="auto"/>
              <w:rPr>
                <w:kern w:val="2"/>
                <w:sz w:val="21"/>
                <w:szCs w:val="21"/>
              </w:rPr>
            </w:pPr>
            <w:r>
              <w:rPr>
                <w:rFonts w:hint="eastAsia"/>
                <w:sz w:val="21"/>
                <w:szCs w:val="21"/>
              </w:rPr>
              <w:t>广东省以外的</w:t>
            </w:r>
            <w:r>
              <w:rPr>
                <w:rFonts w:hint="eastAsia"/>
                <w:sz w:val="21"/>
                <w:szCs w:val="21"/>
                <w:lang w:val="en-US"/>
              </w:rPr>
              <w:t>供应商</w:t>
            </w:r>
            <w:r>
              <w:rPr>
                <w:rFonts w:hint="eastAsia"/>
                <w:sz w:val="21"/>
                <w:szCs w:val="21"/>
              </w:rPr>
              <w:t>，须提供在广东建设信息网（网址：</w:t>
            </w:r>
            <w:r>
              <w:rPr>
                <w:sz w:val="21"/>
                <w:szCs w:val="21"/>
              </w:rPr>
              <w:t>www.gdcic.net）“进粤企业和人员诚信信息登记平台”专栏关于供应商进粤企业及人员信息登记的网页打印件</w:t>
            </w:r>
            <w:r>
              <w:rPr>
                <w:rFonts w:hint="eastAsia"/>
                <w:sz w:val="21"/>
                <w:szCs w:val="21"/>
                <w:lang w:val="en-US"/>
              </w:rPr>
              <w:t>；</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3112"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供</w:t>
            </w:r>
            <w:r>
              <w:rPr>
                <w:kern w:val="2"/>
                <w:sz w:val="21"/>
                <w:szCs w:val="21"/>
              </w:rPr>
              <w:t xml:space="preserve"> </w:t>
            </w:r>
            <w:r>
              <w:rPr>
                <w:rFonts w:hint="eastAsia"/>
                <w:kern w:val="2"/>
                <w:sz w:val="21"/>
                <w:szCs w:val="21"/>
              </w:rPr>
              <w:t>应</w:t>
            </w:r>
            <w:r>
              <w:rPr>
                <w:kern w:val="2"/>
                <w:sz w:val="21"/>
                <w:szCs w:val="21"/>
              </w:rPr>
              <w:t xml:space="preserve"> </w:t>
            </w:r>
            <w:r>
              <w:rPr>
                <w:rFonts w:hint="eastAsia"/>
                <w:kern w:val="2"/>
                <w:sz w:val="21"/>
                <w:szCs w:val="21"/>
              </w:rPr>
              <w:t>商</w:t>
            </w:r>
            <w:r>
              <w:rPr>
                <w:kern w:val="2"/>
                <w:sz w:val="21"/>
                <w:szCs w:val="21"/>
              </w:rPr>
              <w:t xml:space="preserve"> </w:t>
            </w:r>
            <w:r>
              <w:rPr>
                <w:rFonts w:hint="eastAsia"/>
                <w:kern w:val="2"/>
                <w:sz w:val="21"/>
                <w:szCs w:val="21"/>
              </w:rPr>
              <w:t>未</w:t>
            </w:r>
            <w:r>
              <w:rPr>
                <w:kern w:val="2"/>
                <w:sz w:val="21"/>
                <w:szCs w:val="21"/>
              </w:rPr>
              <w:t xml:space="preserve"> </w:t>
            </w:r>
            <w:r>
              <w:rPr>
                <w:rFonts w:hint="eastAsia"/>
                <w:kern w:val="2"/>
                <w:sz w:val="21"/>
                <w:szCs w:val="21"/>
              </w:rPr>
              <w:t>被</w:t>
            </w:r>
            <w:r>
              <w:rPr>
                <w:kern w:val="2"/>
                <w:sz w:val="21"/>
                <w:szCs w:val="21"/>
              </w:rPr>
              <w:t xml:space="preserve"> </w:t>
            </w:r>
            <w:r>
              <w:rPr>
                <w:rFonts w:hint="eastAsia"/>
                <w:kern w:val="2"/>
                <w:sz w:val="21"/>
                <w:szCs w:val="21"/>
              </w:rPr>
              <w:t>列</w:t>
            </w:r>
            <w:r>
              <w:rPr>
                <w:kern w:val="2"/>
                <w:sz w:val="21"/>
                <w:szCs w:val="21"/>
              </w:rPr>
              <w:t xml:space="preserve"> </w:t>
            </w:r>
            <w:r>
              <w:rPr>
                <w:rFonts w:hint="eastAsia"/>
                <w:kern w:val="2"/>
                <w:sz w:val="21"/>
                <w:szCs w:val="21"/>
              </w:rPr>
              <w:t>入</w:t>
            </w:r>
            <w:r>
              <w:rPr>
                <w:kern w:val="2"/>
                <w:sz w:val="21"/>
                <w:szCs w:val="21"/>
              </w:rPr>
              <w:t xml:space="preserve"> </w:t>
            </w:r>
            <w:r>
              <w:rPr>
                <w:rFonts w:hint="eastAsia"/>
                <w:kern w:val="2"/>
                <w:sz w:val="21"/>
                <w:szCs w:val="21"/>
              </w:rPr>
              <w:t>“</w:t>
            </w:r>
            <w:r>
              <w:rPr>
                <w:kern w:val="2"/>
                <w:sz w:val="21"/>
                <w:szCs w:val="21"/>
              </w:rPr>
              <w:t xml:space="preserve"> </w:t>
            </w:r>
            <w:r>
              <w:rPr>
                <w:rFonts w:hint="eastAsia"/>
                <w:kern w:val="2"/>
                <w:sz w:val="21"/>
                <w:szCs w:val="21"/>
              </w:rPr>
              <w:t>信</w:t>
            </w:r>
            <w:r>
              <w:rPr>
                <w:kern w:val="2"/>
                <w:sz w:val="21"/>
                <w:szCs w:val="21"/>
              </w:rPr>
              <w:t xml:space="preserve"> </w:t>
            </w:r>
            <w:r>
              <w:rPr>
                <w:rFonts w:hint="eastAsia"/>
                <w:kern w:val="2"/>
                <w:sz w:val="21"/>
                <w:szCs w:val="21"/>
              </w:rPr>
              <w:t>用</w:t>
            </w:r>
            <w:r>
              <w:rPr>
                <w:kern w:val="2"/>
                <w:sz w:val="21"/>
                <w:szCs w:val="21"/>
              </w:rPr>
              <w:t xml:space="preserve"> </w:t>
            </w:r>
            <w:r>
              <w:rPr>
                <w:rFonts w:hint="eastAsia"/>
                <w:kern w:val="2"/>
                <w:sz w:val="21"/>
                <w:szCs w:val="21"/>
              </w:rPr>
              <w:t>中</w:t>
            </w:r>
            <w:r>
              <w:rPr>
                <w:kern w:val="2"/>
                <w:sz w:val="21"/>
                <w:szCs w:val="21"/>
              </w:rPr>
              <w:t xml:space="preserve"> </w:t>
            </w:r>
            <w:r>
              <w:rPr>
                <w:rFonts w:hint="eastAsia"/>
                <w:kern w:val="2"/>
                <w:sz w:val="21"/>
                <w:szCs w:val="21"/>
              </w:rPr>
              <w:t>国</w:t>
            </w:r>
            <w:r>
              <w:rPr>
                <w:kern w:val="2"/>
                <w:sz w:val="21"/>
                <w:szCs w:val="21"/>
              </w:rPr>
              <w:t xml:space="preserve"> </w:t>
            </w:r>
            <w:r>
              <w:rPr>
                <w:rFonts w:hint="eastAsia"/>
                <w:kern w:val="2"/>
                <w:sz w:val="21"/>
                <w:szCs w:val="21"/>
              </w:rPr>
              <w:t>”</w:t>
            </w:r>
            <w:r>
              <w:rPr>
                <w:kern w:val="2"/>
                <w:sz w:val="21"/>
                <w:szCs w:val="21"/>
              </w:rPr>
              <w:t xml:space="preserve"> </w:t>
            </w:r>
            <w:r>
              <w:rPr>
                <w:rFonts w:hint="eastAsia"/>
                <w:kern w:val="2"/>
                <w:sz w:val="21"/>
                <w:szCs w:val="21"/>
              </w:rPr>
              <w:t>网</w:t>
            </w:r>
            <w:r>
              <w:rPr>
                <w:kern w:val="2"/>
                <w:sz w:val="21"/>
                <w:szCs w:val="21"/>
              </w:rPr>
              <w:t xml:space="preserve"> </w:t>
            </w:r>
            <w:r>
              <w:rPr>
                <w:rFonts w:hint="eastAsia"/>
                <w:kern w:val="2"/>
                <w:sz w:val="21"/>
                <w:szCs w:val="21"/>
              </w:rPr>
              <w:t>站</w:t>
            </w:r>
            <w:r>
              <w:rPr>
                <w:kern w:val="2"/>
                <w:sz w:val="21"/>
                <w:szCs w:val="21"/>
              </w:rPr>
              <w:t>(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w:t>
            </w:r>
            <w:r>
              <w:rPr>
                <w:rFonts w:hint="eastAsia"/>
                <w:kern w:val="2"/>
                <w:sz w:val="21"/>
                <w:szCs w:val="21"/>
                <w:lang w:val="en-US"/>
              </w:rPr>
              <w:t>磋商</w:t>
            </w:r>
            <w:r>
              <w:rPr>
                <w:rFonts w:hint="eastAsia"/>
                <w:kern w:val="2"/>
                <w:sz w:val="21"/>
                <w:szCs w:val="21"/>
              </w:rPr>
              <w:t>截止日当天在</w:t>
            </w:r>
            <w:r>
              <w:rPr>
                <w:kern w:val="2"/>
                <w:sz w:val="21"/>
                <w:szCs w:val="21"/>
              </w:rPr>
              <w:t xml:space="preserve"> </w:t>
            </w:r>
            <w:r>
              <w:rPr>
                <w:rFonts w:hint="eastAsia"/>
                <w:kern w:val="2"/>
                <w:sz w:val="21"/>
                <w:szCs w:val="21"/>
              </w:rPr>
              <w:t>“信用中国</w:t>
            </w:r>
            <w:r>
              <w:rPr>
                <w:kern w:val="2"/>
                <w:sz w:val="21"/>
                <w:szCs w:val="21"/>
              </w:rPr>
              <w:t xml:space="preserve"> </w:t>
            </w:r>
            <w:r>
              <w:rPr>
                <w:rFonts w:hint="eastAsia"/>
                <w:kern w:val="2"/>
                <w:sz w:val="21"/>
                <w:szCs w:val="21"/>
              </w:rPr>
              <w:t>”网站</w:t>
            </w:r>
            <w:r>
              <w:fldChar w:fldCharType="begin"/>
            </w:r>
            <w:r>
              <w:instrText xml:space="preserve"> HYPERLINK "http://www.creditchina.gov.cn/" \h </w:instrText>
            </w:r>
            <w:r>
              <w:fldChar w:fldCharType="separate"/>
            </w:r>
            <w:r>
              <w:rPr>
                <w:rFonts w:hint="eastAsia"/>
                <w:kern w:val="2"/>
                <w:sz w:val="21"/>
                <w:szCs w:val="21"/>
              </w:rPr>
              <w:t>（</w:t>
            </w:r>
            <w:r>
              <w:rPr>
                <w:kern w:val="2"/>
                <w:sz w:val="21"/>
                <w:szCs w:val="21"/>
              </w:rPr>
              <w:t>www.creditchina.gov.cn</w:t>
            </w:r>
            <w:r>
              <w:rPr>
                <w:kern w:val="2"/>
                <w:sz w:val="21"/>
                <w:szCs w:val="21"/>
              </w:rPr>
              <w:fldChar w:fldCharType="end"/>
            </w:r>
            <w:r>
              <w:rPr>
                <w:rFonts w:hint="eastAsia"/>
                <w:kern w:val="2"/>
                <w:sz w:val="21"/>
                <w:szCs w:val="21"/>
              </w:rPr>
              <w:t>）及中国政府采购网</w:t>
            </w:r>
            <w:r>
              <w:rPr>
                <w:kern w:val="2"/>
                <w:sz w:val="21"/>
                <w:szCs w:val="21"/>
              </w:rPr>
              <w:t>(www.ccgp.gov.cn)查询结果为准，如相关失信记录已失效，供应商需提供相关证明资料】</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1152"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为采购项目提供整体设计、规范编制或者项目管理、监理、检测等服务的供应商，不得再参加该采购项目的其他采购活动</w:t>
            </w:r>
            <w:r>
              <w:rPr>
                <w:rFonts w:hint="eastAsia"/>
                <w:b/>
                <w:bCs/>
                <w:kern w:val="2"/>
                <w:sz w:val="21"/>
                <w:szCs w:val="21"/>
              </w:rPr>
              <w:t>（供应商须提供《</w:t>
            </w:r>
            <w:r>
              <w:rPr>
                <w:rFonts w:hint="eastAsia"/>
                <w:b/>
                <w:bCs/>
                <w:kern w:val="2"/>
                <w:sz w:val="21"/>
                <w:szCs w:val="21"/>
                <w:lang w:val="en-US"/>
              </w:rPr>
              <w:t>关于资格的声明函</w:t>
            </w:r>
            <w:r>
              <w:rPr>
                <w:rFonts w:hint="eastAsia"/>
                <w:b/>
                <w:bCs/>
                <w:kern w:val="2"/>
                <w:sz w:val="21"/>
                <w:szCs w:val="21"/>
              </w:rPr>
              <w:t>》）</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847"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sz w:val="21"/>
                <w:szCs w:val="21"/>
                <w:lang w:val="en-US"/>
              </w:rPr>
              <w:t>单位负责人为同一人或者存在直接控股、管理关系的不同供应商，不得参加同一合同项下的采购活动</w:t>
            </w:r>
            <w:r>
              <w:rPr>
                <w:rFonts w:hint="eastAsia"/>
                <w:sz w:val="21"/>
                <w:szCs w:val="21"/>
              </w:rPr>
              <w:t>。</w:t>
            </w:r>
            <w:r>
              <w:rPr>
                <w:rFonts w:hint="eastAsia"/>
                <w:b/>
                <w:bCs/>
                <w:sz w:val="21"/>
                <w:szCs w:val="21"/>
              </w:rPr>
              <w:t>（供应商须提供《关于资格的声明函》）</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514" w:hRule="atLeast"/>
        </w:trPr>
        <w:tc>
          <w:tcPr>
            <w:tcW w:w="536" w:type="dxa"/>
            <w:vMerge w:val="continue"/>
            <w:tcBorders>
              <w:left w:val="single" w:color="000000" w:sz="4" w:space="0"/>
              <w:bottom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sz w:val="21"/>
                <w:szCs w:val="21"/>
                <w:lang w:val="en-US"/>
              </w:rPr>
            </w:pPr>
            <w:r>
              <w:rPr>
                <w:rFonts w:hint="eastAsia"/>
                <w:sz w:val="21"/>
                <w:szCs w:val="21"/>
              </w:rPr>
              <w:t>本项目不接受联合体磋商、不允许分包或转包。</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336" w:hRule="atLeast"/>
        </w:trPr>
        <w:tc>
          <w:tcPr>
            <w:tcW w:w="536" w:type="dxa"/>
            <w:vMerge w:val="restart"/>
            <w:tcBorders>
              <w:top w:val="single" w:color="000000" w:sz="4" w:space="0"/>
              <w:left w:val="single" w:color="000000" w:sz="4" w:space="0"/>
              <w:right w:val="single" w:color="auto" w:sz="4" w:space="0"/>
            </w:tcBorders>
          </w:tcPr>
          <w:p>
            <w:pPr>
              <w:rPr>
                <w:kern w:val="2"/>
                <w:sz w:val="21"/>
                <w:szCs w:val="21"/>
              </w:rPr>
            </w:pPr>
          </w:p>
          <w:p>
            <w:pPr>
              <w:rPr>
                <w:kern w:val="2"/>
                <w:sz w:val="21"/>
                <w:szCs w:val="21"/>
              </w:rPr>
            </w:pPr>
          </w:p>
          <w:p>
            <w:pPr>
              <w:rPr>
                <w:kern w:val="2"/>
                <w:sz w:val="21"/>
                <w:szCs w:val="21"/>
              </w:rPr>
            </w:pPr>
          </w:p>
          <w:p>
            <w:pPr>
              <w:rPr>
                <w:kern w:val="2"/>
                <w:sz w:val="21"/>
                <w:szCs w:val="21"/>
              </w:rPr>
            </w:pPr>
          </w:p>
          <w:p>
            <w:pPr>
              <w:rPr>
                <w:kern w:val="2"/>
                <w:sz w:val="21"/>
                <w:szCs w:val="21"/>
              </w:rPr>
            </w:pPr>
          </w:p>
          <w:p>
            <w:pPr>
              <w:jc w:val="center"/>
              <w:rPr>
                <w:kern w:val="2"/>
                <w:sz w:val="21"/>
                <w:szCs w:val="21"/>
              </w:rPr>
            </w:pPr>
            <w:r>
              <w:rPr>
                <w:rFonts w:hint="eastAsia"/>
                <w:kern w:val="2"/>
                <w:sz w:val="21"/>
                <w:szCs w:val="21"/>
              </w:rPr>
              <w:t>符</w:t>
            </w:r>
          </w:p>
          <w:p>
            <w:pPr>
              <w:jc w:val="center"/>
              <w:rPr>
                <w:kern w:val="2"/>
                <w:sz w:val="21"/>
                <w:szCs w:val="21"/>
              </w:rPr>
            </w:pPr>
            <w:r>
              <w:rPr>
                <w:rFonts w:hint="eastAsia"/>
                <w:kern w:val="2"/>
                <w:sz w:val="21"/>
                <w:szCs w:val="21"/>
              </w:rPr>
              <w:t>合</w:t>
            </w:r>
          </w:p>
          <w:p>
            <w:pPr>
              <w:jc w:val="center"/>
              <w:rPr>
                <w:kern w:val="2"/>
                <w:sz w:val="21"/>
                <w:szCs w:val="21"/>
              </w:rPr>
            </w:pPr>
            <w:r>
              <w:rPr>
                <w:rFonts w:hint="eastAsia"/>
                <w:kern w:val="2"/>
                <w:sz w:val="21"/>
                <w:szCs w:val="21"/>
              </w:rPr>
              <w:t>性</w:t>
            </w:r>
          </w:p>
          <w:p>
            <w:pPr>
              <w:jc w:val="center"/>
              <w:rPr>
                <w:kern w:val="2"/>
                <w:sz w:val="21"/>
                <w:szCs w:val="21"/>
              </w:rPr>
            </w:pPr>
            <w:r>
              <w:rPr>
                <w:rFonts w:hint="eastAsia"/>
                <w:kern w:val="2"/>
                <w:sz w:val="21"/>
                <w:szCs w:val="21"/>
              </w:rPr>
              <w:t>审</w:t>
            </w:r>
          </w:p>
          <w:p>
            <w:pPr>
              <w:jc w:val="center"/>
              <w:rPr>
                <w:kern w:val="2"/>
                <w:sz w:val="21"/>
                <w:szCs w:val="21"/>
              </w:rPr>
            </w:pPr>
            <w:r>
              <w:rPr>
                <w:rFonts w:hint="eastAsia"/>
                <w:kern w:val="2"/>
                <w:sz w:val="21"/>
                <w:szCs w:val="21"/>
              </w:rPr>
              <w:t>查</w:t>
            </w: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sz w:val="21"/>
                <w:szCs w:val="21"/>
                <w:lang w:val="en-US" w:bidi="ar"/>
              </w:rPr>
              <w:t>磋商</w:t>
            </w:r>
            <w:r>
              <w:rPr>
                <w:rFonts w:hint="eastAsia"/>
                <w:sz w:val="21"/>
                <w:szCs w:val="21"/>
                <w:lang w:val="zh-TW" w:eastAsia="zh-TW" w:bidi="ar"/>
              </w:rPr>
              <w:t>文件中“★”项内容无负偏离</w:t>
            </w:r>
            <w:r>
              <w:rPr>
                <w:sz w:val="21"/>
                <w:szCs w:val="21"/>
                <w:lang w:val="zh-TW" w:eastAsia="zh-TW" w:bidi="ar"/>
              </w:rPr>
              <w:t>(劣于)</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336" w:hRule="atLeast"/>
        </w:trPr>
        <w:tc>
          <w:tcPr>
            <w:tcW w:w="536" w:type="dxa"/>
            <w:vMerge w:val="continue"/>
            <w:tcBorders>
              <w:left w:val="single" w:color="000000" w:sz="4" w:space="0"/>
              <w:right w:val="single" w:color="auto" w:sz="4" w:space="0"/>
            </w:tcBorders>
          </w:tcPr>
          <w:p>
            <w:pPr>
              <w:jc w:val="cente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磋商有效期是否为</w:t>
            </w:r>
            <w:r>
              <w:rPr>
                <w:kern w:val="2"/>
                <w:sz w:val="21"/>
                <w:szCs w:val="21"/>
              </w:rPr>
              <w:t xml:space="preserve"> 90 </w:t>
            </w:r>
            <w:r>
              <w:rPr>
                <w:rFonts w:hint="eastAsia"/>
                <w:kern w:val="2"/>
                <w:sz w:val="21"/>
                <w:szCs w:val="21"/>
              </w:rPr>
              <w:t>天</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336"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响应文件符合磋商文件的式样和签署要求</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569"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商务和服务内容无重大偏离“</w:t>
            </w:r>
            <w:r>
              <w:rPr>
                <w:kern w:val="2"/>
                <w:sz w:val="21"/>
                <w:szCs w:val="21"/>
              </w:rPr>
              <w:t xml:space="preserve"> </w:t>
            </w:r>
            <w:r>
              <w:rPr>
                <w:rFonts w:hint="eastAsia"/>
                <w:kern w:val="2"/>
                <w:sz w:val="21"/>
                <w:szCs w:val="21"/>
              </w:rPr>
              <w:t>采购项目内容”的要求</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336"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报价是固定唯一价</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336"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sz w:val="21"/>
                <w:szCs w:val="21"/>
                <w:lang w:bidi="ar"/>
              </w:rPr>
              <w:t>磋商报价</w:t>
            </w:r>
            <w:r>
              <w:rPr>
                <w:rFonts w:hint="eastAsia"/>
                <w:sz w:val="21"/>
                <w:szCs w:val="21"/>
                <w:lang w:val="en-US"/>
              </w:rPr>
              <w:t>折率≤</w:t>
            </w:r>
            <w:r>
              <w:rPr>
                <w:sz w:val="21"/>
                <w:szCs w:val="21"/>
                <w:lang w:val="en-US"/>
              </w:rPr>
              <w:t>100.00%</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571"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响应文件实质性响应磋商文件要求，且无经评委认定为无效的</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578" w:hRule="atLeast"/>
        </w:trPr>
        <w:tc>
          <w:tcPr>
            <w:tcW w:w="536" w:type="dxa"/>
            <w:vMerge w:val="continue"/>
            <w:tcBorders>
              <w:left w:val="single" w:color="000000"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没有符合磋商文件中规定的被视为无效响应的其它条款的</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p>
            <w:pP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000000" w:sz="18" w:space="0"/>
            <w:insideV w:val="single" w:color="000000" w:sz="18" w:space="0"/>
          </w:tblBorders>
          <w:tblCellMar>
            <w:top w:w="0" w:type="dxa"/>
            <w:left w:w="0" w:type="dxa"/>
            <w:bottom w:w="0" w:type="dxa"/>
            <w:right w:w="0" w:type="dxa"/>
          </w:tblCellMar>
        </w:tblPrEx>
        <w:trPr>
          <w:trHeight w:val="388" w:hRule="atLeast"/>
        </w:trPr>
        <w:tc>
          <w:tcPr>
            <w:tcW w:w="536" w:type="dxa"/>
            <w:vMerge w:val="continue"/>
            <w:tcBorders>
              <w:left w:val="single" w:color="000000" w:sz="4" w:space="0"/>
              <w:bottom w:val="single" w:color="auto" w:sz="4" w:space="0"/>
              <w:right w:val="single" w:color="auto" w:sz="4" w:space="0"/>
            </w:tcBorders>
          </w:tcPr>
          <w:p>
            <w:pPr>
              <w:rPr>
                <w:kern w:val="2"/>
                <w:sz w:val="21"/>
                <w:szCs w:val="21"/>
              </w:rPr>
            </w:pPr>
          </w:p>
        </w:tc>
        <w:tc>
          <w:tcPr>
            <w:tcW w:w="4410" w:type="dxa"/>
            <w:tcBorders>
              <w:top w:val="single" w:color="000000" w:sz="4" w:space="0"/>
              <w:left w:val="single" w:color="auto" w:sz="4" w:space="0"/>
              <w:bottom w:val="single" w:color="000000" w:sz="4" w:space="0"/>
              <w:right w:val="single" w:color="000000" w:sz="4" w:space="0"/>
            </w:tcBorders>
          </w:tcPr>
          <w:p>
            <w:pPr>
              <w:rPr>
                <w:kern w:val="2"/>
                <w:sz w:val="21"/>
                <w:szCs w:val="21"/>
              </w:rPr>
            </w:pPr>
            <w:r>
              <w:rPr>
                <w:rFonts w:hint="eastAsia"/>
                <w:kern w:val="2"/>
                <w:sz w:val="21"/>
                <w:szCs w:val="21"/>
              </w:rPr>
              <w:t>符合法律、法规规定的其他实质性要求的</w:t>
            </w:r>
          </w:p>
        </w:tc>
        <w:tc>
          <w:tcPr>
            <w:tcW w:w="184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□通过□不通过</w:t>
            </w:r>
          </w:p>
        </w:tc>
        <w:tc>
          <w:tcPr>
            <w:tcW w:w="2085" w:type="dxa"/>
            <w:tcBorders>
              <w:top w:val="single" w:color="000000" w:sz="4" w:space="0"/>
              <w:left w:val="single" w:color="000000" w:sz="4" w:space="0"/>
              <w:bottom w:val="single" w:color="000000" w:sz="4" w:space="0"/>
              <w:right w:val="single" w:color="000000" w:sz="4" w:space="0"/>
            </w:tcBorders>
          </w:tcPr>
          <w:p>
            <w:pPr>
              <w:rPr>
                <w:kern w:val="2"/>
                <w:sz w:val="21"/>
                <w:szCs w:val="21"/>
              </w:rPr>
            </w:pPr>
            <w:r>
              <w:rPr>
                <w:rFonts w:hint="eastAsia"/>
                <w:kern w:val="2"/>
                <w:sz w:val="21"/>
                <w:szCs w:val="21"/>
              </w:rPr>
              <w:t>见响应文件第（）页</w:t>
            </w:r>
          </w:p>
        </w:tc>
      </w:tr>
    </w:tbl>
    <w:p>
      <w:pPr>
        <w:pStyle w:val="8"/>
        <w:spacing w:before="23" w:line="278" w:lineRule="auto"/>
        <w:ind w:right="445"/>
        <w:rPr>
          <w:spacing w:val="-10"/>
        </w:rPr>
      </w:pPr>
    </w:p>
    <w:p>
      <w:pPr>
        <w:ind w:firstLine="210" w:firstLineChars="100"/>
        <w:rPr>
          <w:kern w:val="2"/>
          <w:sz w:val="21"/>
          <w:szCs w:val="21"/>
        </w:rPr>
      </w:pPr>
      <w:r>
        <w:rPr>
          <w:rFonts w:hint="eastAsia"/>
          <w:kern w:val="2"/>
          <w:sz w:val="21"/>
          <w:szCs w:val="21"/>
        </w:rPr>
        <w:t>注：以上材料将作为供应商合格性和有效性审核的重要内容之一，供应商必须严格按照其内容及序列要求在响应文件中对应如实提供，对缺漏和不符合项将会直接导致无效响应！在对应的□打“√”。</w:t>
      </w:r>
    </w:p>
    <w:p>
      <w:pPr>
        <w:rPr>
          <w:kern w:val="2"/>
          <w:sz w:val="21"/>
          <w:szCs w:val="21"/>
        </w:rPr>
      </w:pPr>
    </w:p>
    <w:p>
      <w:pPr>
        <w:rPr>
          <w:kern w:val="2"/>
          <w:sz w:val="21"/>
          <w:szCs w:val="21"/>
        </w:rPr>
      </w:pPr>
    </w:p>
    <w:p>
      <w:pPr>
        <w:rPr>
          <w:kern w:val="2"/>
          <w:sz w:val="21"/>
          <w:szCs w:val="21"/>
        </w:rPr>
      </w:pPr>
    </w:p>
    <w:p>
      <w:pPr>
        <w:pStyle w:val="8"/>
        <w:rPr>
          <w:sz w:val="20"/>
        </w:rPr>
      </w:pPr>
    </w:p>
    <w:p>
      <w:pPr>
        <w:pStyle w:val="16"/>
        <w:tabs>
          <w:tab w:val="left" w:pos="4607"/>
        </w:tabs>
        <w:autoSpaceDE w:val="0"/>
        <w:autoSpaceDN w:val="0"/>
        <w:spacing w:before="120" w:beforeLines="50" w:after="120" w:afterLines="50" w:line="360" w:lineRule="auto"/>
        <w:jc w:val="left"/>
        <w:rPr>
          <w:rFonts w:ascii="宋体" w:hAnsi="宋体" w:cs="宋体"/>
        </w:rPr>
      </w:pPr>
      <w:bookmarkStart w:id="307" w:name="_Toc2645_WPSOffice_Level3"/>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widowControl/>
        <w:rPr>
          <w:sz w:val="21"/>
          <w:szCs w:val="21"/>
        </w:rPr>
      </w:pPr>
      <w:r>
        <w:rPr>
          <w:rFonts w:hint="eastAsia"/>
          <w:sz w:val="21"/>
          <w:szCs w:val="21"/>
        </w:rPr>
        <w:t>日期：</w:t>
      </w:r>
      <w:r>
        <w:rPr>
          <w:sz w:val="21"/>
          <w:szCs w:val="21"/>
        </w:rPr>
        <w:tab/>
      </w:r>
      <w:r>
        <w:rPr>
          <w:rFonts w:hint="eastAsia"/>
          <w:sz w:val="21"/>
          <w:szCs w:val="21"/>
        </w:rPr>
        <w:t>年</w:t>
      </w:r>
      <w:r>
        <w:rPr>
          <w:sz w:val="21"/>
          <w:szCs w:val="21"/>
        </w:rPr>
        <w:t xml:space="preserve">    </w:t>
      </w:r>
      <w:r>
        <w:rPr>
          <w:sz w:val="21"/>
          <w:szCs w:val="21"/>
        </w:rPr>
        <w:tab/>
      </w:r>
      <w:r>
        <w:rPr>
          <w:rFonts w:hint="eastAsia"/>
          <w:sz w:val="21"/>
          <w:szCs w:val="21"/>
        </w:rPr>
        <w:t>月</w:t>
      </w:r>
      <w:r>
        <w:rPr>
          <w:sz w:val="21"/>
          <w:szCs w:val="21"/>
        </w:rPr>
        <w:t xml:space="preserve">   </w:t>
      </w:r>
      <w:r>
        <w:rPr>
          <w:sz w:val="21"/>
          <w:szCs w:val="21"/>
        </w:rPr>
        <w:tab/>
      </w:r>
      <w:r>
        <w:rPr>
          <w:rFonts w:hint="eastAsia"/>
          <w:sz w:val="21"/>
          <w:szCs w:val="21"/>
        </w:rPr>
        <w:t>日</w:t>
      </w:r>
    </w:p>
    <w:p>
      <w:pPr>
        <w:rPr>
          <w:b/>
          <w:bCs/>
          <w:sz w:val="21"/>
          <w:szCs w:val="21"/>
          <w:lang w:val="en-US"/>
        </w:rPr>
      </w:pPr>
    </w:p>
    <w:p>
      <w:pPr>
        <w:tabs>
          <w:tab w:val="left" w:pos="4272"/>
        </w:tabs>
        <w:spacing w:before="162"/>
        <w:ind w:left="3900"/>
        <w:outlineLvl w:val="1"/>
        <w:rPr>
          <w:b/>
          <w:bCs/>
        </w:rPr>
      </w:pPr>
      <w:bookmarkStart w:id="308" w:name="_Toc22748"/>
      <w:bookmarkStart w:id="309" w:name="_Toc23191"/>
      <w:r>
        <w:rPr>
          <w:b/>
          <w:bCs/>
          <w:lang w:val="en-US"/>
        </w:rPr>
        <w:t xml:space="preserve">1.2 </w:t>
      </w:r>
      <w:r>
        <w:rPr>
          <w:rFonts w:hint="eastAsia"/>
          <w:b/>
          <w:bCs/>
        </w:rPr>
        <w:t>评审项目</w:t>
      </w:r>
      <w:r>
        <w:rPr>
          <w:rFonts w:hint="eastAsia"/>
          <w:b/>
          <w:bCs/>
          <w:lang w:val="en-US"/>
        </w:rPr>
        <w:t>磋商</w:t>
      </w:r>
      <w:r>
        <w:rPr>
          <w:rFonts w:hint="eastAsia"/>
          <w:b/>
          <w:bCs/>
        </w:rPr>
        <w:t>资料表</w:t>
      </w:r>
      <w:bookmarkEnd w:id="307"/>
      <w:bookmarkEnd w:id="308"/>
      <w:bookmarkEnd w:id="309"/>
    </w:p>
    <w:p>
      <w:pPr>
        <w:pStyle w:val="8"/>
        <w:spacing w:before="10"/>
        <w:rPr>
          <w:b/>
          <w:bCs/>
          <w:sz w:val="13"/>
        </w:rPr>
      </w:pPr>
    </w:p>
    <w:tbl>
      <w:tblPr>
        <w:tblStyle w:val="18"/>
        <w:tblW w:w="9573" w:type="dxa"/>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90"/>
        <w:gridCol w:w="3190"/>
        <w:gridCol w:w="3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3190" w:type="dxa"/>
          </w:tcPr>
          <w:p>
            <w:pPr>
              <w:pStyle w:val="24"/>
              <w:spacing w:before="22"/>
              <w:ind w:left="1154" w:right="1145"/>
              <w:jc w:val="center"/>
              <w:rPr>
                <w:kern w:val="2"/>
                <w:sz w:val="21"/>
              </w:rPr>
            </w:pPr>
            <w:r>
              <w:rPr>
                <w:rFonts w:hint="eastAsia"/>
                <w:kern w:val="2"/>
                <w:sz w:val="21"/>
              </w:rPr>
              <w:t>评审分项</w:t>
            </w:r>
          </w:p>
        </w:tc>
        <w:tc>
          <w:tcPr>
            <w:tcW w:w="3190" w:type="dxa"/>
          </w:tcPr>
          <w:p>
            <w:pPr>
              <w:pStyle w:val="24"/>
              <w:spacing w:before="22"/>
              <w:ind w:left="1154" w:right="1144"/>
              <w:jc w:val="center"/>
              <w:rPr>
                <w:kern w:val="2"/>
                <w:sz w:val="21"/>
              </w:rPr>
            </w:pPr>
            <w:r>
              <w:rPr>
                <w:rFonts w:hint="eastAsia"/>
                <w:kern w:val="2"/>
                <w:sz w:val="21"/>
              </w:rPr>
              <w:t>评审细则</w:t>
            </w:r>
          </w:p>
        </w:tc>
        <w:tc>
          <w:tcPr>
            <w:tcW w:w="3193" w:type="dxa"/>
          </w:tcPr>
          <w:p>
            <w:pPr>
              <w:pStyle w:val="24"/>
              <w:spacing w:before="22"/>
              <w:ind w:left="577" w:right="570"/>
              <w:jc w:val="center"/>
              <w:rPr>
                <w:kern w:val="2"/>
                <w:sz w:val="21"/>
              </w:rPr>
            </w:pPr>
            <w:r>
              <w:rPr>
                <w:rFonts w:hint="eastAsia"/>
                <w:kern w:val="2"/>
                <w:sz w:val="21"/>
              </w:rPr>
              <w:t>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2"/>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2"/>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5"/>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5"/>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2"/>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2"/>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2"/>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2"/>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2"/>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2"/>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3"/>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2"/>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2"/>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3190" w:type="dxa"/>
          </w:tcPr>
          <w:p>
            <w:pPr>
              <w:pStyle w:val="24"/>
              <w:rPr>
                <w:kern w:val="2"/>
                <w:sz w:val="20"/>
              </w:rPr>
            </w:pPr>
          </w:p>
        </w:tc>
        <w:tc>
          <w:tcPr>
            <w:tcW w:w="3190" w:type="dxa"/>
          </w:tcPr>
          <w:p>
            <w:pPr>
              <w:pStyle w:val="24"/>
              <w:rPr>
                <w:kern w:val="2"/>
                <w:sz w:val="20"/>
              </w:rPr>
            </w:pPr>
          </w:p>
        </w:tc>
        <w:tc>
          <w:tcPr>
            <w:tcW w:w="3193" w:type="dxa"/>
          </w:tcPr>
          <w:p>
            <w:pPr>
              <w:pStyle w:val="24"/>
              <w:spacing w:before="22"/>
              <w:ind w:left="577" w:right="570"/>
              <w:jc w:val="center"/>
              <w:rPr>
                <w:kern w:val="2"/>
                <w:sz w:val="21"/>
              </w:rPr>
            </w:pPr>
            <w:r>
              <w:rPr>
                <w:rFonts w:hint="eastAsia"/>
                <w:kern w:val="2"/>
                <w:sz w:val="21"/>
              </w:rPr>
              <w:t>见响应文件第（</w:t>
            </w:r>
            <w:r>
              <w:rPr>
                <w:kern w:val="2"/>
                <w:sz w:val="21"/>
              </w:rPr>
              <w:t xml:space="preserve"> </w:t>
            </w:r>
            <w:r>
              <w:rPr>
                <w:rFonts w:hint="eastAsia"/>
                <w:kern w:val="2"/>
                <w:sz w:val="21"/>
              </w:rPr>
              <w:t>）页</w:t>
            </w:r>
          </w:p>
        </w:tc>
      </w:tr>
    </w:tbl>
    <w:p>
      <w:pPr>
        <w:pStyle w:val="8"/>
        <w:rPr>
          <w:b/>
          <w:sz w:val="20"/>
        </w:rPr>
      </w:pPr>
    </w:p>
    <w:p>
      <w:pPr>
        <w:pStyle w:val="8"/>
        <w:rPr>
          <w:b/>
          <w:sz w:val="20"/>
        </w:rPr>
      </w:pPr>
    </w:p>
    <w:p>
      <w:pPr>
        <w:pStyle w:val="8"/>
        <w:rPr>
          <w:b/>
          <w:sz w:val="20"/>
        </w:rPr>
      </w:pPr>
    </w:p>
    <w:p>
      <w:pPr>
        <w:pStyle w:val="8"/>
        <w:spacing w:before="11"/>
        <w:rPr>
          <w:b/>
          <w:sz w:val="17"/>
        </w:rPr>
      </w:pPr>
    </w:p>
    <w:p>
      <w:pPr>
        <w:pStyle w:val="16"/>
        <w:tabs>
          <w:tab w:val="left" w:pos="4607"/>
        </w:tabs>
        <w:autoSpaceDE w:val="0"/>
        <w:autoSpaceDN w:val="0"/>
        <w:spacing w:before="120" w:beforeLines="50" w:after="120" w:afterLines="50" w:line="360" w:lineRule="auto"/>
        <w:jc w:val="left"/>
        <w:rPr>
          <w:rFonts w:ascii="宋体" w:hAnsi="宋体" w:cs="宋体"/>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rPr>
      </w:pPr>
      <w:r>
        <w:rPr>
          <w:rFonts w:hint="eastAsia" w:ascii="宋体" w:hAnsi="宋体" w:cs="宋体"/>
          <w:kern w:val="0"/>
          <w:sz w:val="21"/>
          <w:szCs w:val="21"/>
          <w:lang w:bidi="ar"/>
        </w:rPr>
        <w:t>（公章）</w:t>
      </w:r>
    </w:p>
    <w:p>
      <w:pPr>
        <w:spacing w:before="120" w:beforeLines="50" w:after="120" w:afterLines="50" w:line="360" w:lineRule="auto"/>
        <w:rPr>
          <w:sz w:val="21"/>
          <w:szCs w:val="21"/>
          <w:lang w:val="en-US" w:bidi="ar"/>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lang w:val="en-US" w:bidi="ar"/>
        </w:rPr>
        <w:tab/>
      </w:r>
    </w:p>
    <w:p>
      <w:pPr>
        <w:pStyle w:val="8"/>
        <w:spacing w:before="38"/>
        <w:jc w:val="both"/>
        <w:rPr>
          <w:lang w:val="en-US" w:bidi="ar"/>
        </w:rPr>
      </w:pPr>
      <w:r>
        <w:rPr>
          <w:rFonts w:hint="eastAsia"/>
          <w:lang w:bidi="ar"/>
        </w:rPr>
        <w:t>日期：</w:t>
      </w:r>
      <w:r>
        <w:rPr>
          <w:lang w:bidi="ar"/>
        </w:rPr>
        <w:tab/>
      </w:r>
      <w:r>
        <w:rPr>
          <w:rFonts w:hint="eastAsia"/>
          <w:lang w:bidi="ar"/>
        </w:rPr>
        <w:t>年</w:t>
      </w:r>
      <w:r>
        <w:rPr>
          <w:lang w:bidi="ar"/>
        </w:rPr>
        <w:t xml:space="preserve">    </w:t>
      </w:r>
      <w:r>
        <w:rPr>
          <w:lang w:bidi="ar"/>
        </w:rPr>
        <w:tab/>
      </w:r>
      <w:r>
        <w:rPr>
          <w:rFonts w:hint="eastAsia"/>
          <w:lang w:bidi="ar"/>
        </w:rPr>
        <w:t>月</w:t>
      </w:r>
      <w:r>
        <w:rPr>
          <w:lang w:bidi="ar"/>
        </w:rPr>
        <w:t xml:space="preserve">   </w:t>
      </w:r>
      <w:r>
        <w:rPr>
          <w:lang w:bidi="ar"/>
        </w:rPr>
        <w:tab/>
      </w:r>
      <w:r>
        <w:rPr>
          <w:rFonts w:hint="eastAsia"/>
          <w:lang w:bidi="ar"/>
        </w:rPr>
        <w:t>日</w:t>
      </w:r>
    </w:p>
    <w:p>
      <w:pPr>
        <w:pStyle w:val="8"/>
        <w:spacing w:before="38"/>
        <w:jc w:val="both"/>
        <w:rPr>
          <w:lang w:val="en-US" w:bidi="ar"/>
        </w:rPr>
      </w:pPr>
    </w:p>
    <w:p>
      <w:pPr>
        <w:rPr>
          <w:sz w:val="21"/>
          <w:szCs w:val="21"/>
          <w:lang w:val="en-US" w:bidi="ar"/>
        </w:rPr>
      </w:pPr>
      <w:r>
        <w:rPr>
          <w:sz w:val="21"/>
          <w:szCs w:val="21"/>
          <w:lang w:val="en-US" w:bidi="ar"/>
        </w:rPr>
        <w:br w:type="page"/>
      </w:r>
    </w:p>
    <w:p>
      <w:pPr>
        <w:pStyle w:val="4"/>
        <w:widowControl/>
        <w:spacing w:before="60" w:beforeLines="25" w:after="240" w:afterLines="100" w:line="360" w:lineRule="auto"/>
        <w:ind w:right="0"/>
        <w:jc w:val="left"/>
        <w:rPr>
          <w:sz w:val="21"/>
          <w:szCs w:val="21"/>
        </w:rPr>
      </w:pPr>
      <w:bookmarkStart w:id="310" w:name="_Toc7989"/>
      <w:bookmarkStart w:id="311" w:name="_Toc23013"/>
      <w:bookmarkStart w:id="312" w:name="_Toc23491"/>
      <w:bookmarkStart w:id="313" w:name="_Toc7829"/>
      <w:bookmarkStart w:id="314" w:name="_Toc20660_WPSOffice_Level2"/>
      <w:bookmarkStart w:id="315" w:name="_Toc4385"/>
      <w:bookmarkStart w:id="316" w:name="_Toc27017"/>
      <w:bookmarkStart w:id="317" w:name="_Toc24780"/>
      <w:r>
        <w:rPr>
          <w:rFonts w:hint="eastAsia"/>
          <w:sz w:val="21"/>
          <w:szCs w:val="21"/>
        </w:rPr>
        <w:t>二、资格性文件</w:t>
      </w:r>
      <w:bookmarkEnd w:id="310"/>
      <w:bookmarkEnd w:id="311"/>
      <w:bookmarkEnd w:id="312"/>
      <w:bookmarkEnd w:id="313"/>
      <w:bookmarkEnd w:id="314"/>
      <w:bookmarkEnd w:id="315"/>
      <w:bookmarkEnd w:id="316"/>
      <w:bookmarkEnd w:id="317"/>
    </w:p>
    <w:p>
      <w:pPr>
        <w:spacing w:before="60" w:beforeLines="25" w:after="120" w:afterLines="50" w:line="360" w:lineRule="auto"/>
        <w:rPr>
          <w:b/>
          <w:sz w:val="21"/>
          <w:szCs w:val="21"/>
        </w:rPr>
      </w:pPr>
      <w:bookmarkStart w:id="318" w:name="_Toc2454_WPSOffice_Level3"/>
      <w:r>
        <w:rPr>
          <w:b/>
          <w:sz w:val="21"/>
          <w:szCs w:val="21"/>
          <w:lang w:val="en-US" w:bidi="ar"/>
        </w:rPr>
        <w:t xml:space="preserve">2.1 </w:t>
      </w:r>
      <w:r>
        <w:rPr>
          <w:rFonts w:hint="eastAsia"/>
          <w:b/>
          <w:sz w:val="21"/>
          <w:szCs w:val="21"/>
          <w:lang w:val="en-US" w:bidi="ar"/>
        </w:rPr>
        <w:t>磋商函</w:t>
      </w:r>
      <w:bookmarkEnd w:id="318"/>
    </w:p>
    <w:p>
      <w:pPr>
        <w:spacing w:before="60" w:beforeLines="25" w:after="60" w:afterLines="25" w:line="360" w:lineRule="auto"/>
        <w:rPr>
          <w:sz w:val="21"/>
          <w:szCs w:val="21"/>
          <w:lang w:val="en-US" w:bidi="ar"/>
        </w:rPr>
      </w:pPr>
      <w:r>
        <w:rPr>
          <w:rFonts w:hint="eastAsia"/>
          <w:sz w:val="21"/>
          <w:szCs w:val="21"/>
          <w:lang w:val="en-US" w:bidi="ar"/>
        </w:rPr>
        <w:t>致</w:t>
      </w:r>
      <w:r>
        <w:rPr>
          <w:rFonts w:hint="eastAsia"/>
          <w:sz w:val="21"/>
          <w:szCs w:val="21"/>
          <w:u w:val="single"/>
          <w:lang w:val="en-US" w:bidi="ar"/>
        </w:rPr>
        <w:t>（采购人</w:t>
      </w:r>
      <w:r>
        <w:rPr>
          <w:sz w:val="21"/>
          <w:szCs w:val="21"/>
          <w:u w:val="single"/>
          <w:lang w:val="en-US" w:bidi="ar"/>
        </w:rPr>
        <w:t>/采购代理机构）</w:t>
      </w:r>
      <w:r>
        <w:rPr>
          <w:rFonts w:hint="eastAsia"/>
          <w:sz w:val="21"/>
          <w:szCs w:val="21"/>
          <w:lang w:val="en-US" w:bidi="ar"/>
        </w:rPr>
        <w:t>：</w:t>
      </w:r>
    </w:p>
    <w:p>
      <w:pPr>
        <w:pStyle w:val="16"/>
        <w:autoSpaceDE w:val="0"/>
        <w:autoSpaceDN w:val="0"/>
        <w:spacing w:before="60" w:beforeLines="25" w:after="60" w:afterLines="25" w:line="360" w:lineRule="auto"/>
        <w:ind w:firstLine="420" w:firstLineChars="200"/>
        <w:jc w:val="left"/>
        <w:rPr>
          <w:rFonts w:ascii="宋体" w:hAnsi="宋体" w:cs="宋体"/>
        </w:rPr>
      </w:pPr>
      <w:r>
        <w:rPr>
          <w:rFonts w:hint="eastAsia" w:ascii="宋体" w:hAnsi="宋体" w:cs="宋体"/>
          <w:kern w:val="0"/>
          <w:sz w:val="21"/>
          <w:szCs w:val="21"/>
          <w:lang w:bidi="ar"/>
        </w:rPr>
        <w:t>依据贵方采购项目名称</w:t>
      </w:r>
      <w:r>
        <w:rPr>
          <w:rFonts w:hint="eastAsia" w:ascii="宋体" w:hAnsi="宋体" w:cs="宋体"/>
          <w:kern w:val="0"/>
          <w:sz w:val="21"/>
          <w:szCs w:val="21"/>
          <w:u w:val="single"/>
          <w:lang w:bidi="ar"/>
        </w:rPr>
        <w:t>（采购项目编号</w:t>
      </w:r>
      <w:r>
        <w:rPr>
          <w:rFonts w:ascii="宋体" w:hAnsi="宋体" w:cs="宋体"/>
          <w:kern w:val="0"/>
          <w:sz w:val="21"/>
          <w:szCs w:val="21"/>
          <w:u w:val="single"/>
          <w:lang w:bidi="ar"/>
        </w:rPr>
        <w:t xml:space="preserve">) </w:t>
      </w:r>
      <w:r>
        <w:rPr>
          <w:rFonts w:hint="eastAsia" w:ascii="宋体" w:hAnsi="宋体" w:cs="宋体"/>
          <w:kern w:val="0"/>
          <w:sz w:val="21"/>
          <w:szCs w:val="21"/>
          <w:lang w:bidi="ar"/>
        </w:rPr>
        <w:t>项目采购货物及服务的磋商邀请，我方代表</w:t>
      </w:r>
      <w:r>
        <w:rPr>
          <w:rFonts w:hint="eastAsia" w:ascii="宋体" w:hAnsi="宋体" w:cs="宋体"/>
          <w:kern w:val="0"/>
          <w:sz w:val="21"/>
          <w:szCs w:val="21"/>
          <w:u w:val="single"/>
          <w:lang w:bidi="ar"/>
        </w:rPr>
        <w:t>（姓名、职务</w:t>
      </w:r>
      <w:r>
        <w:rPr>
          <w:rFonts w:hint="eastAsia" w:ascii="宋体" w:hAnsi="宋体" w:cs="宋体"/>
          <w:spacing w:val="-3"/>
          <w:kern w:val="0"/>
          <w:sz w:val="21"/>
          <w:szCs w:val="21"/>
          <w:u w:val="single"/>
          <w:lang w:bidi="ar"/>
        </w:rPr>
        <w:t>）</w:t>
      </w:r>
      <w:r>
        <w:rPr>
          <w:rFonts w:hint="eastAsia" w:ascii="宋体" w:hAnsi="宋体" w:cs="宋体"/>
          <w:kern w:val="0"/>
          <w:sz w:val="21"/>
          <w:szCs w:val="21"/>
          <w:lang w:bidi="ar"/>
        </w:rPr>
        <w:t>经</w:t>
      </w:r>
      <w:r>
        <w:rPr>
          <w:rFonts w:hint="eastAsia" w:ascii="宋体" w:hAnsi="宋体" w:cs="宋体"/>
          <w:spacing w:val="-3"/>
          <w:kern w:val="0"/>
          <w:sz w:val="21"/>
          <w:szCs w:val="21"/>
          <w:lang w:bidi="ar"/>
        </w:rPr>
        <w:t>正</w:t>
      </w:r>
      <w:r>
        <w:rPr>
          <w:rFonts w:hint="eastAsia" w:ascii="宋体" w:hAnsi="宋体" w:cs="宋体"/>
          <w:kern w:val="0"/>
          <w:sz w:val="21"/>
          <w:szCs w:val="21"/>
          <w:lang w:bidi="ar"/>
        </w:rPr>
        <w:t>式</w:t>
      </w:r>
      <w:r>
        <w:rPr>
          <w:rFonts w:hint="eastAsia" w:ascii="宋体" w:hAnsi="宋体" w:cs="宋体"/>
          <w:spacing w:val="-3"/>
          <w:kern w:val="0"/>
          <w:sz w:val="21"/>
          <w:szCs w:val="21"/>
          <w:lang w:bidi="ar"/>
        </w:rPr>
        <w:t>授</w:t>
      </w:r>
      <w:r>
        <w:rPr>
          <w:rFonts w:hint="eastAsia" w:ascii="宋体" w:hAnsi="宋体" w:cs="宋体"/>
          <w:kern w:val="0"/>
          <w:sz w:val="21"/>
          <w:szCs w:val="21"/>
          <w:lang w:bidi="ar"/>
        </w:rPr>
        <w:t>权</w:t>
      </w:r>
      <w:r>
        <w:rPr>
          <w:rFonts w:hint="eastAsia" w:ascii="宋体" w:hAnsi="宋体" w:cs="宋体"/>
          <w:spacing w:val="-3"/>
          <w:kern w:val="0"/>
          <w:sz w:val="21"/>
          <w:szCs w:val="21"/>
          <w:lang w:bidi="ar"/>
        </w:rPr>
        <w:t>并</w:t>
      </w:r>
      <w:r>
        <w:rPr>
          <w:rFonts w:hint="eastAsia" w:ascii="宋体" w:hAnsi="宋体" w:cs="宋体"/>
          <w:kern w:val="0"/>
          <w:sz w:val="21"/>
          <w:szCs w:val="21"/>
          <w:lang w:bidi="ar"/>
        </w:rPr>
        <w:t>代</w:t>
      </w:r>
      <w:r>
        <w:rPr>
          <w:rFonts w:hint="eastAsia" w:ascii="宋体" w:hAnsi="宋体" w:cs="宋体"/>
          <w:spacing w:val="-3"/>
          <w:kern w:val="0"/>
          <w:sz w:val="21"/>
          <w:szCs w:val="21"/>
          <w:lang w:bidi="ar"/>
        </w:rPr>
        <w:t>表</w:t>
      </w:r>
      <w:r>
        <w:rPr>
          <w:rFonts w:hint="eastAsia" w:ascii="宋体" w:hAnsi="宋体" w:cs="宋体"/>
          <w:kern w:val="0"/>
          <w:sz w:val="21"/>
          <w:szCs w:val="21"/>
          <w:u w:val="single"/>
          <w:lang w:bidi="ar"/>
        </w:rPr>
        <w:t>（磋</w:t>
      </w:r>
      <w:r>
        <w:rPr>
          <w:rFonts w:hint="eastAsia" w:ascii="宋体" w:hAnsi="宋体" w:cs="宋体"/>
          <w:spacing w:val="-3"/>
          <w:kern w:val="0"/>
          <w:sz w:val="21"/>
          <w:szCs w:val="21"/>
          <w:u w:val="single"/>
          <w:lang w:bidi="ar"/>
        </w:rPr>
        <w:t>商</w:t>
      </w:r>
      <w:r>
        <w:rPr>
          <w:rFonts w:hint="eastAsia" w:ascii="宋体" w:hAnsi="宋体" w:cs="宋体"/>
          <w:kern w:val="0"/>
          <w:sz w:val="21"/>
          <w:szCs w:val="21"/>
          <w:u w:val="single"/>
          <w:lang w:bidi="ar"/>
        </w:rPr>
        <w:t>供</w:t>
      </w:r>
      <w:r>
        <w:rPr>
          <w:rFonts w:hint="eastAsia" w:ascii="宋体" w:hAnsi="宋体" w:cs="宋体"/>
          <w:spacing w:val="-3"/>
          <w:kern w:val="0"/>
          <w:sz w:val="21"/>
          <w:szCs w:val="21"/>
          <w:u w:val="single"/>
          <w:lang w:bidi="ar"/>
        </w:rPr>
        <w:t>应</w:t>
      </w:r>
      <w:r>
        <w:rPr>
          <w:rFonts w:hint="eastAsia" w:ascii="宋体" w:hAnsi="宋体" w:cs="宋体"/>
          <w:kern w:val="0"/>
          <w:sz w:val="21"/>
          <w:szCs w:val="21"/>
          <w:u w:val="single"/>
          <w:lang w:bidi="ar"/>
        </w:rPr>
        <w:t>商</w:t>
      </w:r>
      <w:r>
        <w:rPr>
          <w:rFonts w:hint="eastAsia" w:ascii="宋体" w:hAnsi="宋体" w:cs="宋体"/>
          <w:spacing w:val="-3"/>
          <w:kern w:val="0"/>
          <w:sz w:val="21"/>
          <w:szCs w:val="21"/>
          <w:u w:val="single"/>
          <w:lang w:bidi="ar"/>
        </w:rPr>
        <w:t>名</w:t>
      </w:r>
      <w:r>
        <w:rPr>
          <w:rFonts w:hint="eastAsia" w:ascii="宋体" w:hAnsi="宋体" w:cs="宋体"/>
          <w:kern w:val="0"/>
          <w:sz w:val="21"/>
          <w:szCs w:val="21"/>
          <w:u w:val="single"/>
          <w:lang w:bidi="ar"/>
        </w:rPr>
        <w:t>称</w:t>
      </w:r>
      <w:r>
        <w:rPr>
          <w:rFonts w:hint="eastAsia" w:ascii="宋体" w:hAnsi="宋体" w:cs="宋体"/>
          <w:spacing w:val="-3"/>
          <w:kern w:val="0"/>
          <w:sz w:val="21"/>
          <w:szCs w:val="21"/>
          <w:u w:val="single"/>
          <w:lang w:bidi="ar"/>
        </w:rPr>
        <w:t>、</w:t>
      </w:r>
      <w:r>
        <w:rPr>
          <w:rFonts w:hint="eastAsia" w:ascii="宋体" w:hAnsi="宋体" w:cs="宋体"/>
          <w:kern w:val="0"/>
          <w:sz w:val="21"/>
          <w:szCs w:val="21"/>
          <w:u w:val="single"/>
          <w:lang w:bidi="ar"/>
        </w:rPr>
        <w:t>地</w:t>
      </w:r>
      <w:r>
        <w:rPr>
          <w:rFonts w:hint="eastAsia" w:ascii="宋体" w:hAnsi="宋体" w:cs="宋体"/>
          <w:spacing w:val="-3"/>
          <w:kern w:val="0"/>
          <w:sz w:val="21"/>
          <w:szCs w:val="21"/>
          <w:u w:val="single"/>
          <w:lang w:bidi="ar"/>
        </w:rPr>
        <w:t>址</w:t>
      </w:r>
      <w:r>
        <w:rPr>
          <w:rFonts w:hint="eastAsia" w:ascii="宋体" w:hAnsi="宋体" w:cs="宋体"/>
          <w:kern w:val="0"/>
          <w:sz w:val="21"/>
          <w:szCs w:val="21"/>
          <w:u w:val="single"/>
          <w:lang w:bidi="ar"/>
        </w:rPr>
        <w:t>）</w:t>
      </w:r>
      <w:r>
        <w:rPr>
          <w:rFonts w:hint="eastAsia" w:ascii="宋体" w:hAnsi="宋体" w:cs="宋体"/>
          <w:kern w:val="0"/>
          <w:sz w:val="21"/>
          <w:szCs w:val="21"/>
          <w:lang w:bidi="ar"/>
        </w:rPr>
        <w:t>提</w:t>
      </w:r>
      <w:r>
        <w:rPr>
          <w:rFonts w:hint="eastAsia" w:ascii="宋体" w:hAnsi="宋体" w:cs="宋体"/>
          <w:spacing w:val="-3"/>
          <w:kern w:val="0"/>
          <w:sz w:val="21"/>
          <w:szCs w:val="21"/>
          <w:lang w:bidi="ar"/>
        </w:rPr>
        <w:t>交</w:t>
      </w:r>
      <w:r>
        <w:rPr>
          <w:rFonts w:hint="eastAsia" w:ascii="宋体" w:hAnsi="宋体" w:cs="宋体"/>
          <w:kern w:val="0"/>
          <w:sz w:val="21"/>
          <w:szCs w:val="21"/>
          <w:lang w:bidi="ar"/>
        </w:rPr>
        <w:t>下</w:t>
      </w:r>
      <w:r>
        <w:rPr>
          <w:rFonts w:hint="eastAsia" w:ascii="宋体" w:hAnsi="宋体" w:cs="宋体"/>
          <w:spacing w:val="-3"/>
          <w:kern w:val="0"/>
          <w:sz w:val="21"/>
          <w:szCs w:val="21"/>
          <w:lang w:bidi="ar"/>
        </w:rPr>
        <w:t>述</w:t>
      </w:r>
      <w:r>
        <w:rPr>
          <w:rFonts w:hint="eastAsia" w:ascii="宋体" w:hAnsi="宋体" w:cs="宋体"/>
          <w:kern w:val="0"/>
          <w:sz w:val="21"/>
          <w:szCs w:val="21"/>
          <w:lang w:bidi="ar"/>
        </w:rPr>
        <w:t>文</w:t>
      </w:r>
      <w:r>
        <w:rPr>
          <w:rFonts w:hint="eastAsia" w:ascii="宋体" w:hAnsi="宋体" w:cs="宋体"/>
          <w:spacing w:val="-3"/>
          <w:kern w:val="0"/>
          <w:sz w:val="21"/>
          <w:szCs w:val="21"/>
          <w:lang w:bidi="ar"/>
        </w:rPr>
        <w:t>件</w:t>
      </w:r>
      <w:r>
        <w:rPr>
          <w:rFonts w:hint="eastAsia" w:ascii="宋体" w:hAnsi="宋体" w:cs="宋体"/>
          <w:kern w:val="0"/>
          <w:sz w:val="21"/>
          <w:szCs w:val="21"/>
          <w:lang w:bidi="ar"/>
        </w:rPr>
        <w:t>正</w:t>
      </w:r>
      <w:r>
        <w:rPr>
          <w:rFonts w:hint="eastAsia" w:ascii="宋体" w:hAnsi="宋体" w:cs="宋体"/>
          <w:spacing w:val="-3"/>
          <w:kern w:val="0"/>
          <w:sz w:val="21"/>
          <w:szCs w:val="21"/>
          <w:lang w:bidi="ar"/>
        </w:rPr>
        <w:t>本</w:t>
      </w:r>
      <w:r>
        <w:rPr>
          <w:rFonts w:ascii="宋体" w:hAnsi="宋体" w:cs="宋体"/>
          <w:spacing w:val="-3"/>
          <w:kern w:val="0"/>
          <w:sz w:val="21"/>
          <w:szCs w:val="21"/>
          <w:u w:val="single"/>
          <w:lang w:bidi="ar"/>
        </w:rPr>
        <w:t xml:space="preserve"> </w:t>
      </w:r>
      <w:r>
        <w:rPr>
          <w:rFonts w:ascii="宋体" w:hAnsi="宋体" w:cs="宋体"/>
          <w:spacing w:val="-3"/>
          <w:kern w:val="0"/>
          <w:sz w:val="21"/>
          <w:szCs w:val="21"/>
          <w:u w:val="single"/>
          <w:lang w:bidi="ar"/>
        </w:rPr>
        <w:tab/>
      </w:r>
      <w:r>
        <w:rPr>
          <w:rFonts w:hint="eastAsia" w:ascii="宋体" w:hAnsi="宋体" w:cs="宋体"/>
          <w:spacing w:val="-3"/>
          <w:kern w:val="0"/>
          <w:sz w:val="21"/>
          <w:szCs w:val="21"/>
          <w:lang w:bidi="ar"/>
        </w:rPr>
        <w:t>份</w:t>
      </w:r>
      <w:r>
        <w:rPr>
          <w:rFonts w:hint="eastAsia" w:ascii="宋体" w:hAnsi="宋体" w:cs="宋体"/>
          <w:kern w:val="0"/>
          <w:sz w:val="21"/>
          <w:szCs w:val="21"/>
          <w:lang w:bidi="ar"/>
        </w:rPr>
        <w:t>，副</w:t>
      </w:r>
      <w:r>
        <w:rPr>
          <w:rFonts w:hint="eastAsia" w:ascii="宋体" w:hAnsi="宋体" w:cs="宋体"/>
          <w:spacing w:val="-3"/>
          <w:kern w:val="0"/>
          <w:sz w:val="21"/>
          <w:szCs w:val="21"/>
          <w:lang w:bidi="ar"/>
        </w:rPr>
        <w:t>本</w:t>
      </w:r>
      <w:r>
        <w:rPr>
          <w:rFonts w:ascii="宋体" w:hAnsi="宋体" w:cs="宋体"/>
          <w:spacing w:val="-3"/>
          <w:kern w:val="0"/>
          <w:sz w:val="21"/>
          <w:szCs w:val="21"/>
          <w:u w:val="single"/>
          <w:lang w:bidi="ar"/>
        </w:rPr>
        <w:t xml:space="preserve"> </w:t>
      </w:r>
      <w:r>
        <w:rPr>
          <w:rFonts w:ascii="宋体" w:hAnsi="宋体" w:cs="宋体"/>
          <w:spacing w:val="-3"/>
          <w:kern w:val="0"/>
          <w:sz w:val="21"/>
          <w:szCs w:val="21"/>
          <w:u w:val="single"/>
          <w:lang w:bidi="ar"/>
        </w:rPr>
        <w:tab/>
      </w:r>
      <w:r>
        <w:rPr>
          <w:rFonts w:hint="eastAsia" w:ascii="宋体" w:hAnsi="宋体" w:cs="宋体"/>
          <w:kern w:val="0"/>
          <w:sz w:val="21"/>
          <w:szCs w:val="21"/>
          <w:lang w:bidi="ar"/>
        </w:rPr>
        <w:t>份</w:t>
      </w:r>
      <w:r>
        <w:rPr>
          <w:rFonts w:hint="eastAsia" w:ascii="宋体" w:hAnsi="宋体" w:cs="宋体"/>
          <w:spacing w:val="-17"/>
          <w:kern w:val="0"/>
          <w:sz w:val="21"/>
          <w:szCs w:val="21"/>
          <w:lang w:bidi="ar"/>
        </w:rPr>
        <w:t>。</w:t>
      </w:r>
    </w:p>
    <w:p>
      <w:pPr>
        <w:spacing w:before="60" w:beforeLines="25" w:after="60" w:afterLines="25" w:line="360" w:lineRule="auto"/>
        <w:ind w:firstLine="420" w:firstLineChars="200"/>
        <w:rPr>
          <w:sz w:val="21"/>
          <w:szCs w:val="21"/>
          <w:lang w:val="en-US" w:bidi="ar"/>
        </w:rPr>
      </w:pPr>
      <w:r>
        <w:rPr>
          <w:sz w:val="21"/>
          <w:szCs w:val="21"/>
          <w:lang w:val="en-US" w:bidi="ar"/>
        </w:rPr>
        <w:t>1）自查表；</w:t>
      </w:r>
    </w:p>
    <w:p>
      <w:pPr>
        <w:spacing w:before="60" w:beforeLines="25" w:after="60" w:afterLines="25" w:line="360" w:lineRule="auto"/>
        <w:ind w:firstLine="420" w:firstLineChars="200"/>
        <w:rPr>
          <w:sz w:val="21"/>
          <w:szCs w:val="21"/>
          <w:lang w:val="en-US" w:bidi="ar"/>
        </w:rPr>
      </w:pPr>
      <w:r>
        <w:rPr>
          <w:sz w:val="21"/>
          <w:szCs w:val="21"/>
          <w:lang w:val="en-US" w:bidi="ar"/>
        </w:rPr>
        <w:t>2）资格性文件；</w:t>
      </w:r>
    </w:p>
    <w:p>
      <w:pPr>
        <w:spacing w:before="60" w:beforeLines="25" w:after="60" w:afterLines="25" w:line="360" w:lineRule="auto"/>
        <w:ind w:firstLine="420" w:firstLineChars="200"/>
        <w:rPr>
          <w:sz w:val="21"/>
          <w:szCs w:val="21"/>
          <w:lang w:val="en-US" w:bidi="ar"/>
        </w:rPr>
      </w:pPr>
      <w:r>
        <w:rPr>
          <w:sz w:val="21"/>
          <w:szCs w:val="21"/>
          <w:lang w:val="en-US" w:bidi="ar"/>
        </w:rPr>
        <w:t>3）商务部分；</w:t>
      </w:r>
    </w:p>
    <w:p>
      <w:pPr>
        <w:spacing w:before="60" w:beforeLines="25" w:after="60" w:afterLines="25" w:line="360" w:lineRule="auto"/>
        <w:ind w:firstLine="420" w:firstLineChars="200"/>
        <w:rPr>
          <w:sz w:val="21"/>
          <w:szCs w:val="21"/>
          <w:lang w:val="en-US" w:bidi="ar"/>
        </w:rPr>
      </w:pPr>
      <w:r>
        <w:rPr>
          <w:sz w:val="21"/>
          <w:szCs w:val="21"/>
          <w:lang w:val="en-US" w:bidi="ar"/>
        </w:rPr>
        <w:t>4）技术部分；</w:t>
      </w:r>
    </w:p>
    <w:p>
      <w:pPr>
        <w:spacing w:before="60" w:beforeLines="25" w:after="60" w:afterLines="25" w:line="360" w:lineRule="auto"/>
        <w:ind w:firstLine="420" w:firstLineChars="200"/>
        <w:rPr>
          <w:sz w:val="21"/>
          <w:szCs w:val="21"/>
          <w:lang w:val="en-US" w:bidi="ar"/>
        </w:rPr>
      </w:pPr>
      <w:r>
        <w:rPr>
          <w:sz w:val="21"/>
          <w:szCs w:val="21"/>
          <w:lang w:val="en-US" w:bidi="ar"/>
        </w:rPr>
        <w:t xml:space="preserve">5）价格部分。 </w:t>
      </w:r>
    </w:p>
    <w:p>
      <w:pPr>
        <w:spacing w:before="60" w:beforeLines="25" w:after="60" w:afterLines="25" w:line="360" w:lineRule="auto"/>
        <w:rPr>
          <w:sz w:val="21"/>
          <w:szCs w:val="21"/>
          <w:lang w:val="en-US" w:bidi="ar"/>
        </w:rPr>
      </w:pPr>
      <w:r>
        <w:rPr>
          <w:rFonts w:hint="eastAsia"/>
          <w:sz w:val="21"/>
          <w:szCs w:val="21"/>
          <w:lang w:val="en-US" w:bidi="ar"/>
        </w:rPr>
        <w:t>在此，我方声明如下：</w:t>
      </w:r>
    </w:p>
    <w:p>
      <w:pPr>
        <w:spacing w:before="60" w:beforeLines="25" w:after="60" w:afterLines="25" w:line="360" w:lineRule="auto"/>
        <w:ind w:firstLine="420" w:firstLineChars="200"/>
        <w:rPr>
          <w:sz w:val="21"/>
          <w:szCs w:val="21"/>
          <w:lang w:val="en-US" w:bidi="ar"/>
        </w:rPr>
      </w:pPr>
      <w:r>
        <w:rPr>
          <w:sz w:val="21"/>
          <w:szCs w:val="21"/>
          <w:lang w:val="en-US" w:bidi="ar"/>
        </w:rPr>
        <w:t>(1)同意并接受磋商文件的各项要求，遵守磋商文件中的各项规定，按磋商文件的要求提供报价。</w:t>
      </w:r>
    </w:p>
    <w:p>
      <w:pPr>
        <w:spacing w:before="60" w:beforeLines="25" w:after="60" w:afterLines="25" w:line="360" w:lineRule="auto"/>
        <w:ind w:firstLine="420" w:firstLineChars="200"/>
        <w:rPr>
          <w:sz w:val="21"/>
          <w:szCs w:val="21"/>
          <w:lang w:val="en-US" w:bidi="ar"/>
        </w:rPr>
      </w:pPr>
      <w:r>
        <w:rPr>
          <w:sz w:val="21"/>
          <w:szCs w:val="21"/>
          <w:lang w:val="en-US" w:bidi="ar"/>
        </w:rPr>
        <w:t xml:space="preserve">(2)磋商有效期为递交响应文件之日起 90 </w:t>
      </w:r>
      <w:r>
        <w:rPr>
          <w:rFonts w:hint="eastAsia"/>
          <w:sz w:val="21"/>
          <w:szCs w:val="21"/>
          <w:lang w:val="en-US" w:bidi="ar"/>
        </w:rPr>
        <w:t>天，成交供应商磋商有效期延至合同验收之日。</w:t>
      </w:r>
    </w:p>
    <w:p>
      <w:pPr>
        <w:spacing w:before="60" w:beforeLines="25" w:after="60" w:afterLines="25" w:line="360" w:lineRule="auto"/>
        <w:ind w:firstLine="420" w:firstLineChars="200"/>
        <w:rPr>
          <w:sz w:val="21"/>
          <w:szCs w:val="21"/>
          <w:lang w:val="en-US" w:bidi="ar"/>
        </w:rPr>
      </w:pPr>
      <w:r>
        <w:rPr>
          <w:sz w:val="21"/>
          <w:szCs w:val="21"/>
          <w:lang w:val="en-US" w:bidi="ar"/>
        </w:rPr>
        <w:t>(3)我方已经详细地阅读了全部磋商文件及其附件，包括澄清及参考文件(如果有的话)。我方已完全清晰理解磋商文件的要求，不存在任何含糊不清和误解之处，同意放弃对这些文件所提出的异议和质疑的权利。</w:t>
      </w:r>
    </w:p>
    <w:p>
      <w:pPr>
        <w:spacing w:before="60" w:beforeLines="25" w:after="60" w:afterLines="25" w:line="360" w:lineRule="auto"/>
        <w:ind w:firstLine="420" w:firstLineChars="200"/>
        <w:rPr>
          <w:sz w:val="21"/>
          <w:szCs w:val="21"/>
          <w:lang w:val="en-US" w:bidi="ar"/>
        </w:rPr>
      </w:pPr>
      <w:r>
        <w:rPr>
          <w:sz w:val="21"/>
          <w:szCs w:val="21"/>
          <w:lang w:val="en-US" w:bidi="ar"/>
        </w:rPr>
        <w:t>(4)我方已毫无保留地向贵方提供一切所需的证明材料。</w:t>
      </w:r>
    </w:p>
    <w:p>
      <w:pPr>
        <w:spacing w:before="60" w:beforeLines="25" w:after="60" w:afterLines="25" w:line="360" w:lineRule="auto"/>
        <w:ind w:firstLine="420" w:firstLineChars="200"/>
        <w:rPr>
          <w:sz w:val="21"/>
          <w:szCs w:val="21"/>
          <w:lang w:val="en-US" w:bidi="ar"/>
        </w:rPr>
      </w:pPr>
      <w:r>
        <w:rPr>
          <w:sz w:val="21"/>
          <w:szCs w:val="21"/>
          <w:lang w:val="en-US" w:bidi="ar"/>
        </w:rPr>
        <w:t>(5)我方承诺：</w:t>
      </w:r>
    </w:p>
    <w:p>
      <w:pPr>
        <w:spacing w:before="60" w:beforeLines="25" w:after="60" w:afterLines="25" w:line="360" w:lineRule="auto"/>
        <w:ind w:firstLine="420" w:firstLineChars="200"/>
        <w:rPr>
          <w:sz w:val="21"/>
          <w:szCs w:val="21"/>
          <w:lang w:val="en-US" w:bidi="ar"/>
        </w:rPr>
      </w:pPr>
      <w:r>
        <w:rPr>
          <w:sz w:val="21"/>
          <w:szCs w:val="21"/>
          <w:lang w:val="en-US" w:bidi="ar"/>
        </w:rPr>
        <w:t>1、在本次响应文件中提供的一切文件，无论是原件还是复印件均为真实和准确的，绝无任何虚假、伪造和夸大的成份，否则，愿承担相应的后果和法律责任。</w:t>
      </w:r>
    </w:p>
    <w:p>
      <w:pPr>
        <w:spacing w:before="60" w:beforeLines="25" w:after="60" w:afterLines="25" w:line="360" w:lineRule="auto"/>
        <w:ind w:firstLine="420" w:firstLineChars="200"/>
        <w:rPr>
          <w:sz w:val="21"/>
          <w:szCs w:val="21"/>
          <w:lang w:val="en-US" w:bidi="ar"/>
        </w:rPr>
      </w:pPr>
      <w:r>
        <w:rPr>
          <w:sz w:val="21"/>
          <w:szCs w:val="21"/>
          <w:lang w:val="en-US" w:bidi="ar"/>
        </w:rPr>
        <w:t xml:space="preserve">2、贵方如需审阅和核实我方提供材料的原件及表述的情况是否真实无误时，我方承诺无条件配合， </w:t>
      </w:r>
      <w:r>
        <w:rPr>
          <w:rFonts w:hint="eastAsia"/>
          <w:sz w:val="21"/>
          <w:szCs w:val="21"/>
          <w:lang w:val="en-US" w:bidi="ar"/>
        </w:rPr>
        <w:t>否则，视同我方自动放弃成交权利。</w:t>
      </w:r>
    </w:p>
    <w:p>
      <w:pPr>
        <w:spacing w:before="60" w:beforeLines="25" w:after="60" w:afterLines="25" w:line="360" w:lineRule="auto"/>
        <w:ind w:firstLine="420" w:firstLineChars="200"/>
        <w:rPr>
          <w:sz w:val="21"/>
          <w:szCs w:val="21"/>
          <w:lang w:val="en-US" w:bidi="ar"/>
        </w:rPr>
      </w:pPr>
      <w:r>
        <w:rPr>
          <w:rFonts w:hint="eastAsia"/>
          <w:sz w:val="21"/>
          <w:szCs w:val="21"/>
          <w:lang w:val="en-US" w:bidi="ar"/>
        </w:rPr>
        <w:t>（</w:t>
      </w:r>
      <w:r>
        <w:rPr>
          <w:sz w:val="21"/>
          <w:szCs w:val="21"/>
          <w:lang w:val="en-US" w:bidi="ar"/>
        </w:rPr>
        <w:t>6）我方完全服从和尊重磋商小组所作的评定结果，同时清楚理解到报价最低并非意味着必定获得成交资格。</w:t>
      </w:r>
    </w:p>
    <w:p>
      <w:pPr>
        <w:spacing w:before="60" w:beforeLines="25" w:after="60" w:afterLines="25" w:line="360" w:lineRule="auto"/>
        <w:ind w:firstLine="420" w:firstLineChars="200"/>
        <w:rPr>
          <w:sz w:val="21"/>
          <w:szCs w:val="21"/>
          <w:lang w:val="en-US" w:bidi="ar"/>
        </w:rPr>
      </w:pPr>
      <w:r>
        <w:rPr>
          <w:rFonts w:hint="eastAsia"/>
          <w:sz w:val="21"/>
          <w:szCs w:val="21"/>
          <w:lang w:val="en-US" w:bidi="ar"/>
        </w:rPr>
        <w:t>（</w:t>
      </w:r>
      <w:r>
        <w:rPr>
          <w:sz w:val="21"/>
          <w:szCs w:val="21"/>
          <w:lang w:val="en-US" w:bidi="ar"/>
        </w:rPr>
        <w:t>7）我方同意按磋商文件规定向采购代理机构缴纳采购服务费。</w:t>
      </w:r>
    </w:p>
    <w:p>
      <w:pPr>
        <w:spacing w:before="60" w:beforeLines="25" w:after="60" w:afterLines="25" w:line="360" w:lineRule="auto"/>
        <w:ind w:firstLine="420" w:firstLineChars="200"/>
        <w:rPr>
          <w:sz w:val="21"/>
          <w:szCs w:val="21"/>
          <w:lang w:val="en-US" w:bidi="ar"/>
        </w:rPr>
      </w:pPr>
      <w:r>
        <w:rPr>
          <w:rFonts w:hint="eastAsia"/>
          <w:sz w:val="21"/>
          <w:szCs w:val="21"/>
          <w:lang w:val="en-US" w:bidi="ar"/>
        </w:rPr>
        <w:t>响应供应商全称：</w:t>
      </w:r>
      <w:r>
        <w:rPr>
          <w:sz w:val="21"/>
          <w:szCs w:val="21"/>
          <w:lang w:val="en-US" w:bidi="ar"/>
        </w:rPr>
        <w:t xml:space="preserve">                                   </w:t>
      </w:r>
    </w:p>
    <w:p>
      <w:pPr>
        <w:spacing w:before="60" w:beforeLines="25" w:after="60" w:afterLines="25" w:line="360" w:lineRule="auto"/>
        <w:ind w:firstLine="420" w:firstLineChars="200"/>
        <w:rPr>
          <w:sz w:val="21"/>
          <w:szCs w:val="21"/>
          <w:lang w:val="en-US" w:bidi="ar"/>
        </w:rPr>
      </w:pPr>
      <w:r>
        <w:rPr>
          <w:rFonts w:hint="eastAsia"/>
          <w:sz w:val="21"/>
          <w:szCs w:val="21"/>
          <w:lang w:val="en-US" w:bidi="ar"/>
        </w:rPr>
        <w:t>地址：</w:t>
      </w:r>
      <w:r>
        <w:rPr>
          <w:sz w:val="21"/>
          <w:szCs w:val="21"/>
          <w:lang w:val="en-US" w:bidi="ar"/>
        </w:rPr>
        <w:t xml:space="preserve">                                    </w:t>
      </w:r>
      <w:r>
        <w:rPr>
          <w:sz w:val="21"/>
          <w:szCs w:val="21"/>
          <w:lang w:val="en-US" w:bidi="ar"/>
        </w:rPr>
        <w:tab/>
      </w:r>
    </w:p>
    <w:p>
      <w:pPr>
        <w:spacing w:before="60" w:beforeLines="25" w:after="60" w:afterLines="25" w:line="360" w:lineRule="auto"/>
        <w:ind w:firstLine="420" w:firstLineChars="200"/>
        <w:rPr>
          <w:sz w:val="21"/>
          <w:szCs w:val="21"/>
          <w:lang w:val="en-US" w:bidi="ar"/>
        </w:rPr>
      </w:pPr>
      <w:r>
        <w:rPr>
          <w:rFonts w:hint="eastAsia"/>
          <w:sz w:val="21"/>
          <w:szCs w:val="21"/>
          <w:lang w:val="en-US" w:bidi="ar"/>
        </w:rPr>
        <w:t>传真：</w:t>
      </w:r>
      <w:r>
        <w:rPr>
          <w:sz w:val="21"/>
          <w:szCs w:val="21"/>
          <w:lang w:val="en-US" w:bidi="ar"/>
        </w:rPr>
        <w:t xml:space="preserve">                                   </w:t>
      </w:r>
    </w:p>
    <w:p>
      <w:pPr>
        <w:spacing w:before="60" w:beforeLines="25" w:after="60" w:afterLines="25" w:line="360" w:lineRule="auto"/>
        <w:ind w:firstLine="420" w:firstLineChars="200"/>
        <w:rPr>
          <w:sz w:val="21"/>
          <w:szCs w:val="21"/>
          <w:lang w:val="en-US" w:bidi="ar"/>
        </w:rPr>
      </w:pPr>
      <w:r>
        <w:rPr>
          <w:rFonts w:hint="eastAsia"/>
          <w:sz w:val="21"/>
          <w:szCs w:val="21"/>
          <w:lang w:val="en-US" w:bidi="ar"/>
        </w:rPr>
        <w:t>电话：</w:t>
      </w:r>
      <w:r>
        <w:rPr>
          <w:sz w:val="21"/>
          <w:szCs w:val="21"/>
          <w:lang w:val="en-US" w:bidi="ar"/>
        </w:rPr>
        <w:t xml:space="preserve">                                    </w:t>
      </w:r>
      <w:r>
        <w:rPr>
          <w:sz w:val="21"/>
          <w:szCs w:val="21"/>
          <w:lang w:val="en-US" w:bidi="ar"/>
        </w:rPr>
        <w:tab/>
      </w:r>
    </w:p>
    <w:p>
      <w:pPr>
        <w:spacing w:before="60" w:beforeLines="25" w:after="60" w:afterLines="25" w:line="360" w:lineRule="auto"/>
        <w:ind w:firstLine="420" w:firstLineChars="200"/>
        <w:rPr>
          <w:sz w:val="21"/>
          <w:szCs w:val="21"/>
          <w:lang w:val="en-US" w:bidi="ar"/>
        </w:rPr>
      </w:pPr>
      <w:r>
        <w:rPr>
          <w:rFonts w:hint="eastAsia"/>
          <w:sz w:val="21"/>
          <w:szCs w:val="21"/>
          <w:lang w:val="en-US" w:bidi="ar"/>
        </w:rPr>
        <w:t>电子邮件：</w:t>
      </w:r>
      <w:r>
        <w:rPr>
          <w:sz w:val="21"/>
          <w:szCs w:val="21"/>
          <w:lang w:val="en-US" w:bidi="ar"/>
        </w:rPr>
        <w:t xml:space="preserve"> </w:t>
      </w:r>
      <w:r>
        <w:rPr>
          <w:sz w:val="21"/>
          <w:szCs w:val="21"/>
          <w:lang w:val="en-US" w:bidi="ar"/>
        </w:rPr>
        <w:tab/>
      </w:r>
    </w:p>
    <w:p>
      <w:pPr>
        <w:spacing w:before="60" w:beforeLines="25" w:after="60" w:afterLines="25" w:line="360" w:lineRule="auto"/>
        <w:ind w:firstLine="420" w:firstLineChars="200"/>
        <w:rPr>
          <w:sz w:val="21"/>
          <w:szCs w:val="21"/>
          <w:lang w:val="en-US" w:bidi="ar"/>
        </w:rPr>
      </w:pPr>
      <w:r>
        <w:rPr>
          <w:rFonts w:hint="eastAsia"/>
          <w:sz w:val="21"/>
          <w:szCs w:val="21"/>
          <w:lang w:val="en-US" w:bidi="ar"/>
        </w:rPr>
        <w:t>响应供应商（法定代表人授权代表）代表（签名或盖私章）：</w:t>
      </w:r>
      <w:r>
        <w:rPr>
          <w:sz w:val="21"/>
          <w:szCs w:val="21"/>
          <w:lang w:val="en-US" w:bidi="ar"/>
        </w:rPr>
        <w:t xml:space="preserve">                                 </w:t>
      </w:r>
    </w:p>
    <w:p>
      <w:pPr>
        <w:spacing w:before="60" w:beforeLines="25" w:after="60" w:afterLines="25" w:line="360" w:lineRule="auto"/>
        <w:ind w:firstLine="420" w:firstLineChars="200"/>
        <w:rPr>
          <w:sz w:val="21"/>
          <w:szCs w:val="21"/>
          <w:lang w:val="en-US" w:bidi="ar"/>
        </w:rPr>
      </w:pPr>
      <w:r>
        <w:rPr>
          <w:rFonts w:hint="eastAsia"/>
          <w:sz w:val="21"/>
          <w:szCs w:val="21"/>
          <w:lang w:val="en-US" w:bidi="ar"/>
        </w:rPr>
        <w:t>响应供应商</w:t>
      </w:r>
      <w:r>
        <w:rPr>
          <w:sz w:val="21"/>
          <w:szCs w:val="21"/>
          <w:lang w:val="en-US" w:bidi="ar"/>
        </w:rPr>
        <w:t xml:space="preserve">(公章)：                              </w:t>
      </w:r>
      <w:r>
        <w:rPr>
          <w:sz w:val="21"/>
          <w:szCs w:val="21"/>
          <w:lang w:val="en-US" w:bidi="ar"/>
        </w:rPr>
        <w:tab/>
      </w:r>
    </w:p>
    <w:p>
      <w:pPr>
        <w:spacing w:before="60" w:beforeLines="25" w:after="60" w:afterLines="25" w:line="360" w:lineRule="auto"/>
        <w:ind w:firstLine="420" w:firstLineChars="200"/>
        <w:rPr>
          <w:sz w:val="21"/>
          <w:szCs w:val="21"/>
          <w:lang w:val="en-US" w:bidi="ar"/>
        </w:rPr>
      </w:pPr>
      <w:r>
        <w:rPr>
          <w:rFonts w:hint="eastAsia"/>
          <w:sz w:val="21"/>
          <w:szCs w:val="21"/>
          <w:lang w:val="en-US" w:bidi="ar"/>
        </w:rPr>
        <w:t>开户银行：</w:t>
      </w:r>
      <w:r>
        <w:rPr>
          <w:sz w:val="21"/>
          <w:szCs w:val="21"/>
          <w:lang w:val="en-US" w:bidi="ar"/>
        </w:rPr>
        <w:t xml:space="preserve">                                    </w:t>
      </w:r>
      <w:r>
        <w:rPr>
          <w:sz w:val="21"/>
          <w:szCs w:val="21"/>
          <w:lang w:val="en-US" w:bidi="ar"/>
        </w:rPr>
        <w:tab/>
      </w:r>
    </w:p>
    <w:p>
      <w:pPr>
        <w:spacing w:before="60" w:beforeLines="25" w:after="60" w:afterLines="25" w:line="360" w:lineRule="auto"/>
        <w:ind w:firstLine="420" w:firstLineChars="200"/>
        <w:rPr>
          <w:sz w:val="21"/>
          <w:szCs w:val="21"/>
          <w:lang w:val="en-US" w:bidi="ar"/>
        </w:rPr>
      </w:pPr>
      <w:r>
        <w:rPr>
          <w:rFonts w:hint="eastAsia"/>
          <w:sz w:val="21"/>
          <w:szCs w:val="21"/>
          <w:lang w:val="en-US" w:bidi="ar"/>
        </w:rPr>
        <w:t>账号：</w:t>
      </w:r>
      <w:r>
        <w:rPr>
          <w:sz w:val="21"/>
          <w:szCs w:val="21"/>
          <w:lang w:val="en-US" w:bidi="ar"/>
        </w:rPr>
        <w:t xml:space="preserve">                                    </w:t>
      </w:r>
      <w:r>
        <w:rPr>
          <w:sz w:val="21"/>
          <w:szCs w:val="21"/>
          <w:lang w:val="en-US" w:bidi="ar"/>
        </w:rPr>
        <w:tab/>
      </w:r>
      <w:r>
        <w:rPr>
          <w:sz w:val="21"/>
          <w:szCs w:val="21"/>
          <w:lang w:val="en-US" w:bidi="ar"/>
        </w:rPr>
        <w:tab/>
      </w:r>
    </w:p>
    <w:p>
      <w:pPr>
        <w:spacing w:before="60" w:beforeLines="25" w:after="60" w:afterLines="25" w:line="360" w:lineRule="auto"/>
        <w:ind w:firstLine="420" w:firstLineChars="200"/>
      </w:pPr>
      <w:r>
        <w:rPr>
          <w:rFonts w:hint="eastAsia"/>
          <w:sz w:val="21"/>
          <w:szCs w:val="21"/>
          <w:lang w:val="en-US" w:bidi="ar"/>
        </w:rPr>
        <w:t>日期：</w:t>
      </w:r>
      <w:r>
        <w:rPr>
          <w:sz w:val="21"/>
          <w:szCs w:val="21"/>
          <w:lang w:val="en-US" w:bidi="ar"/>
        </w:rPr>
        <w:t xml:space="preserve">                                    </w:t>
      </w:r>
      <w:r>
        <w:rPr>
          <w:lang w:val="en-US" w:bidi="ar"/>
        </w:rPr>
        <w:tab/>
      </w:r>
    </w:p>
    <w:p>
      <w:pPr>
        <w:sectPr>
          <w:pgSz w:w="11910" w:h="16840"/>
          <w:pgMar w:top="1440" w:right="1080" w:bottom="1440" w:left="1080" w:header="945" w:footer="893" w:gutter="0"/>
          <w:cols w:space="720" w:num="1"/>
        </w:sectPr>
      </w:pPr>
    </w:p>
    <w:p>
      <w:pPr>
        <w:pStyle w:val="16"/>
        <w:autoSpaceDE w:val="0"/>
        <w:autoSpaceDN w:val="0"/>
        <w:spacing w:before="8"/>
        <w:jc w:val="left"/>
        <w:rPr>
          <w:rFonts w:ascii="宋体" w:hAnsi="宋体" w:cs="宋体"/>
          <w:sz w:val="8"/>
          <w:szCs w:val="21"/>
        </w:rPr>
      </w:pPr>
    </w:p>
    <w:p>
      <w:pPr>
        <w:spacing w:before="120" w:beforeLines="50" w:after="120" w:afterLines="50" w:line="360" w:lineRule="auto"/>
        <w:rPr>
          <w:b/>
          <w:sz w:val="21"/>
          <w:szCs w:val="21"/>
        </w:rPr>
      </w:pPr>
      <w:bookmarkStart w:id="319" w:name="_Toc32642_WPSOffice_Level3"/>
      <w:r>
        <w:rPr>
          <w:b/>
          <w:sz w:val="21"/>
          <w:szCs w:val="21"/>
          <w:lang w:val="en-US" w:bidi="ar"/>
        </w:rPr>
        <w:t xml:space="preserve">2.2 </w:t>
      </w:r>
      <w:r>
        <w:rPr>
          <w:rFonts w:hint="eastAsia"/>
          <w:b/>
          <w:sz w:val="21"/>
          <w:szCs w:val="21"/>
          <w:lang w:val="en-US" w:bidi="ar"/>
        </w:rPr>
        <w:t>法定代表人</w:t>
      </w:r>
      <w:r>
        <w:rPr>
          <w:b/>
          <w:sz w:val="21"/>
          <w:szCs w:val="21"/>
          <w:lang w:val="en-US" w:bidi="ar"/>
        </w:rPr>
        <w:t>/负责人资格证明书及授权委托书</w:t>
      </w:r>
      <w:bookmarkEnd w:id="319"/>
    </w:p>
    <w:p>
      <w:pPr>
        <w:spacing w:before="120" w:beforeLines="50" w:after="120" w:afterLines="50" w:line="360" w:lineRule="auto"/>
        <w:jc w:val="center"/>
        <w:rPr>
          <w:b/>
          <w:sz w:val="21"/>
          <w:szCs w:val="21"/>
        </w:rPr>
      </w:pPr>
      <w:r>
        <w:rPr>
          <w:b/>
          <w:sz w:val="21"/>
          <w:szCs w:val="21"/>
          <w:lang w:val="en-US" w:bidi="ar"/>
        </w:rPr>
        <w:t>(1)法定代表人/负责人资格证明书</w:t>
      </w:r>
    </w:p>
    <w:p>
      <w:pPr>
        <w:spacing w:before="60" w:beforeLines="25" w:after="60" w:afterLines="25" w:line="360" w:lineRule="auto"/>
        <w:rPr>
          <w:sz w:val="21"/>
          <w:szCs w:val="21"/>
        </w:rPr>
      </w:pPr>
      <w:r>
        <w:rPr>
          <w:rFonts w:hint="eastAsia"/>
          <w:sz w:val="21"/>
          <w:szCs w:val="21"/>
          <w:lang w:val="en-US" w:bidi="ar"/>
        </w:rPr>
        <w:t>致：</w:t>
      </w:r>
      <w:r>
        <w:rPr>
          <w:rFonts w:hint="eastAsia"/>
          <w:sz w:val="21"/>
          <w:szCs w:val="21"/>
          <w:u w:val="single"/>
          <w:lang w:val="en-US" w:bidi="ar"/>
        </w:rPr>
        <w:t>采购人</w:t>
      </w:r>
      <w:r>
        <w:rPr>
          <w:sz w:val="21"/>
          <w:szCs w:val="21"/>
          <w:u w:val="single"/>
          <w:lang w:val="en-US" w:bidi="ar"/>
        </w:rPr>
        <w:t>/采购代理机构</w:t>
      </w:r>
      <w:r>
        <w:rPr>
          <w:rFonts w:hint="eastAsia"/>
          <w:sz w:val="21"/>
          <w:szCs w:val="21"/>
          <w:lang w:val="en-US" w:bidi="ar"/>
        </w:rPr>
        <w:t>：</w:t>
      </w:r>
    </w:p>
    <w:p>
      <w:pPr>
        <w:spacing w:before="60" w:beforeLines="25" w:after="60" w:afterLines="25" w:line="360" w:lineRule="auto"/>
        <w:ind w:firstLine="420" w:firstLineChars="200"/>
        <w:rPr>
          <w:sz w:val="21"/>
          <w:szCs w:val="21"/>
        </w:rPr>
      </w:pPr>
      <w:r>
        <w:rPr>
          <w:sz w:val="21"/>
          <w:szCs w:val="21"/>
          <w:u w:val="single"/>
          <w:lang w:val="en-US" w:bidi="ar"/>
        </w:rPr>
        <w:tab/>
      </w:r>
      <w:r>
        <w:rPr>
          <w:sz w:val="21"/>
          <w:szCs w:val="21"/>
          <w:u w:val="single"/>
          <w:lang w:val="en-US" w:bidi="ar"/>
        </w:rPr>
        <w:t xml:space="preserve">         </w:t>
      </w:r>
      <w:r>
        <w:rPr>
          <w:rFonts w:hint="eastAsia"/>
          <w:sz w:val="21"/>
          <w:szCs w:val="21"/>
          <w:lang w:val="en-US" w:bidi="ar"/>
        </w:rPr>
        <w:t>同志，现任我单位</w:t>
      </w:r>
      <w:r>
        <w:rPr>
          <w:sz w:val="21"/>
          <w:szCs w:val="21"/>
          <w:u w:val="single"/>
          <w:lang w:val="en-US" w:bidi="ar"/>
        </w:rPr>
        <w:t xml:space="preserve"> </w:t>
      </w:r>
      <w:r>
        <w:rPr>
          <w:sz w:val="21"/>
          <w:szCs w:val="21"/>
          <w:u w:val="single"/>
          <w:lang w:val="en-US" w:bidi="ar"/>
        </w:rPr>
        <w:tab/>
      </w:r>
      <w:r>
        <w:rPr>
          <w:sz w:val="21"/>
          <w:szCs w:val="21"/>
          <w:u w:val="single"/>
          <w:lang w:val="en-US" w:bidi="ar"/>
        </w:rPr>
        <w:t xml:space="preserve">         </w:t>
      </w:r>
      <w:r>
        <w:rPr>
          <w:sz w:val="21"/>
          <w:szCs w:val="21"/>
          <w:u w:val="single"/>
          <w:lang w:val="en-US" w:bidi="ar"/>
        </w:rPr>
        <w:tab/>
      </w:r>
      <w:r>
        <w:rPr>
          <w:sz w:val="21"/>
          <w:szCs w:val="21"/>
          <w:lang w:val="en-US" w:bidi="ar"/>
        </w:rPr>
        <w:t xml:space="preserve"> 职务，为法定代表人，特此证明。</w:t>
      </w:r>
    </w:p>
    <w:p>
      <w:pPr>
        <w:spacing w:before="60" w:beforeLines="25" w:after="60" w:afterLines="25" w:line="360" w:lineRule="auto"/>
        <w:rPr>
          <w:sz w:val="21"/>
          <w:szCs w:val="21"/>
        </w:rPr>
      </w:pPr>
      <w:r>
        <w:rPr>
          <w:rFonts w:hint="eastAsia"/>
          <w:sz w:val="21"/>
          <w:szCs w:val="21"/>
          <w:lang w:val="en-US" w:bidi="ar"/>
        </w:rPr>
        <w:t>签发日期：</w:t>
      </w:r>
      <w:r>
        <w:rPr>
          <w:sz w:val="21"/>
          <w:szCs w:val="21"/>
          <w:u w:val="single"/>
          <w:lang w:val="en-US" w:bidi="ar"/>
        </w:rPr>
        <w:tab/>
      </w:r>
      <w:r>
        <w:rPr>
          <w:sz w:val="21"/>
          <w:szCs w:val="21"/>
          <w:u w:val="single"/>
          <w:lang w:val="en-US" w:bidi="ar"/>
        </w:rPr>
        <w:tab/>
      </w:r>
      <w:r>
        <w:rPr>
          <w:sz w:val="21"/>
          <w:szCs w:val="21"/>
          <w:u w:val="single"/>
          <w:lang w:val="en-US" w:bidi="ar"/>
        </w:rPr>
        <w:t xml:space="preserve">     </w:t>
      </w:r>
      <w:r>
        <w:rPr>
          <w:sz w:val="21"/>
          <w:szCs w:val="21"/>
          <w:lang w:val="en-US" w:bidi="ar"/>
        </w:rPr>
        <w:t xml:space="preserve">         单位：</w:t>
      </w:r>
      <w:r>
        <w:rPr>
          <w:sz w:val="21"/>
          <w:szCs w:val="21"/>
          <w:u w:val="single"/>
          <w:lang w:val="en-US" w:bidi="ar"/>
        </w:rPr>
        <w:tab/>
      </w:r>
      <w:r>
        <w:rPr>
          <w:sz w:val="21"/>
          <w:szCs w:val="21"/>
          <w:u w:val="single"/>
          <w:lang w:val="en-US" w:bidi="ar"/>
        </w:rPr>
        <w:t xml:space="preserve">          </w:t>
      </w:r>
      <w:r>
        <w:rPr>
          <w:rFonts w:hint="eastAsia"/>
          <w:sz w:val="21"/>
          <w:szCs w:val="21"/>
          <w:lang w:val="en-US" w:bidi="ar"/>
        </w:rPr>
        <w:t>（盖章）</w:t>
      </w:r>
    </w:p>
    <w:p>
      <w:pPr>
        <w:spacing w:before="60" w:beforeLines="25" w:after="60" w:afterLines="25" w:line="360" w:lineRule="auto"/>
        <w:rPr>
          <w:sz w:val="21"/>
          <w:szCs w:val="21"/>
        </w:rPr>
      </w:pPr>
      <w:r>
        <w:rPr>
          <w:rFonts w:hint="eastAsia"/>
          <w:sz w:val="21"/>
          <w:szCs w:val="21"/>
          <w:lang w:val="en-US" w:bidi="ar"/>
        </w:rPr>
        <w:t>附：代表人性别：</w:t>
      </w:r>
      <w:r>
        <w:rPr>
          <w:sz w:val="21"/>
          <w:szCs w:val="21"/>
          <w:lang w:val="en-US" w:bidi="ar"/>
        </w:rPr>
        <w:t xml:space="preserve">      </w:t>
      </w:r>
      <w:r>
        <w:rPr>
          <w:sz w:val="21"/>
          <w:szCs w:val="21"/>
          <w:lang w:val="en-US" w:bidi="ar"/>
        </w:rPr>
        <w:tab/>
      </w:r>
      <w:r>
        <w:rPr>
          <w:rFonts w:hint="eastAsia"/>
          <w:sz w:val="21"/>
          <w:szCs w:val="21"/>
          <w:lang w:val="en-US" w:bidi="ar"/>
        </w:rPr>
        <w:t>年龄：</w:t>
      </w:r>
      <w:r>
        <w:rPr>
          <w:sz w:val="21"/>
          <w:szCs w:val="21"/>
          <w:lang w:val="en-US" w:bidi="ar"/>
        </w:rPr>
        <w:tab/>
      </w:r>
      <w:r>
        <w:rPr>
          <w:sz w:val="21"/>
          <w:szCs w:val="21"/>
          <w:lang w:val="en-US" w:bidi="ar"/>
        </w:rPr>
        <w:t xml:space="preserve">        身份证号码：          </w:t>
      </w:r>
    </w:p>
    <w:p>
      <w:pPr>
        <w:spacing w:before="60" w:beforeLines="25" w:after="60" w:afterLines="25" w:line="360" w:lineRule="auto"/>
        <w:rPr>
          <w:sz w:val="21"/>
          <w:szCs w:val="21"/>
        </w:rPr>
      </w:pPr>
      <w:r>
        <w:rPr>
          <w:rFonts w:hint="eastAsia"/>
          <w:sz w:val="21"/>
          <w:szCs w:val="21"/>
          <w:lang w:val="en-US" w:bidi="ar"/>
        </w:rPr>
        <w:t>联系电话：</w:t>
      </w:r>
    </w:p>
    <w:p>
      <w:pPr>
        <w:spacing w:before="60" w:beforeLines="25" w:after="60" w:afterLines="25" w:line="360" w:lineRule="auto"/>
        <w:rPr>
          <w:sz w:val="21"/>
          <w:szCs w:val="21"/>
        </w:rPr>
      </w:pPr>
      <w:r>
        <w:rPr>
          <w:rFonts w:hint="eastAsia"/>
          <w:sz w:val="21"/>
          <w:szCs w:val="21"/>
          <w:lang w:val="en-US" w:bidi="ar"/>
        </w:rPr>
        <w:t>营业执照号码：</w:t>
      </w:r>
      <w:r>
        <w:rPr>
          <w:sz w:val="21"/>
          <w:szCs w:val="21"/>
          <w:lang w:val="en-US" w:bidi="ar"/>
        </w:rPr>
        <w:tab/>
      </w:r>
      <w:r>
        <w:rPr>
          <w:sz w:val="21"/>
          <w:szCs w:val="21"/>
          <w:lang w:val="en-US" w:bidi="ar"/>
        </w:rPr>
        <w:t xml:space="preserve">                       经济性质： </w:t>
      </w:r>
    </w:p>
    <w:p>
      <w:pPr>
        <w:spacing w:before="60" w:beforeLines="25" w:after="60" w:afterLines="25" w:line="360" w:lineRule="auto"/>
        <w:rPr>
          <w:sz w:val="21"/>
          <w:szCs w:val="21"/>
        </w:rPr>
      </w:pPr>
      <w:r>
        <w:rPr>
          <w:rFonts w:hint="eastAsia"/>
          <w:sz w:val="21"/>
          <w:szCs w:val="21"/>
          <w:lang w:val="en-US" w:bidi="ar"/>
        </w:rPr>
        <w:t>主营（产）：</w:t>
      </w:r>
    </w:p>
    <w:p>
      <w:pPr>
        <w:spacing w:before="60" w:beforeLines="25" w:after="60" w:afterLines="25" w:line="360" w:lineRule="auto"/>
        <w:rPr>
          <w:sz w:val="21"/>
          <w:szCs w:val="21"/>
        </w:rPr>
      </w:pPr>
      <w:r>
        <w:rPr>
          <w:rFonts w:hint="eastAsia"/>
          <w:sz w:val="21"/>
          <w:szCs w:val="21"/>
          <w:lang w:val="en-US" w:bidi="ar"/>
        </w:rPr>
        <w:t>兼营（产）：</w:t>
      </w:r>
    </w:p>
    <w:p>
      <w:pPr>
        <w:spacing w:before="60" w:beforeLines="25" w:after="60" w:afterLines="25" w:line="360" w:lineRule="auto"/>
        <w:rPr>
          <w:sz w:val="21"/>
          <w:szCs w:val="21"/>
        </w:rPr>
      </w:pPr>
      <w:r>
        <w:rPr>
          <w:rFonts w:hint="eastAsia"/>
          <w:sz w:val="21"/>
          <w:szCs w:val="21"/>
          <w:lang w:val="en-US" w:bidi="ar"/>
        </w:rPr>
        <w:t>进口物品经营许可证号码：</w:t>
      </w:r>
      <w:r>
        <w:rPr>
          <w:sz w:val="21"/>
          <w:szCs w:val="21"/>
          <w:lang w:val="en-US" w:bidi="ar"/>
        </w:rPr>
        <w:t xml:space="preserve"> </w:t>
      </w:r>
    </w:p>
    <w:p>
      <w:pPr>
        <w:spacing w:before="60" w:beforeLines="25" w:after="60" w:afterLines="25" w:line="360" w:lineRule="auto"/>
        <w:rPr>
          <w:sz w:val="21"/>
          <w:szCs w:val="21"/>
        </w:rPr>
      </w:pPr>
      <w:r>
        <w:rPr>
          <w:rFonts w:hint="eastAsia"/>
          <w:sz w:val="21"/>
          <w:szCs w:val="21"/>
          <w:lang w:val="en-US" w:bidi="ar"/>
        </w:rPr>
        <w:t>主营：</w:t>
      </w:r>
    </w:p>
    <w:p>
      <w:pPr>
        <w:spacing w:before="60" w:beforeLines="25" w:after="60" w:afterLines="25" w:line="360" w:lineRule="auto"/>
        <w:rPr>
          <w:sz w:val="21"/>
          <w:szCs w:val="21"/>
        </w:rPr>
      </w:pPr>
      <w:r>
        <w:rPr>
          <w:rFonts w:hint="eastAsia"/>
          <w:sz w:val="21"/>
          <w:szCs w:val="21"/>
          <w:lang w:val="en-US" w:bidi="ar"/>
        </w:rPr>
        <w:t>兼营：</w:t>
      </w:r>
    </w:p>
    <w:p>
      <w:pPr>
        <w:spacing w:before="60" w:beforeLines="25" w:after="60" w:afterLines="25" w:line="360" w:lineRule="auto"/>
        <w:rPr>
          <w:sz w:val="21"/>
          <w:szCs w:val="21"/>
        </w:rPr>
      </w:pPr>
      <w:r>
        <w:rPr>
          <w:rFonts w:hint="eastAsia"/>
          <w:sz w:val="21"/>
          <w:szCs w:val="21"/>
          <w:lang w:val="en-US" w:bidi="ar"/>
        </w:rPr>
        <w:t>说明：</w:t>
      </w:r>
      <w:r>
        <w:rPr>
          <w:sz w:val="21"/>
          <w:szCs w:val="21"/>
          <w:lang w:val="en-US" w:bidi="ar"/>
        </w:rPr>
        <w:t>1.法定代表人为企业事业单位、国家机关、社会团体的主要行政负责人。</w:t>
      </w:r>
    </w:p>
    <w:p>
      <w:pPr>
        <w:spacing w:before="60" w:beforeLines="25" w:after="60" w:afterLines="25" w:line="360" w:lineRule="auto"/>
        <w:ind w:left="660" w:leftChars="300"/>
        <w:rPr>
          <w:sz w:val="21"/>
          <w:szCs w:val="21"/>
        </w:rPr>
      </w:pPr>
      <w:r>
        <w:rPr>
          <w:sz w:val="21"/>
          <w:szCs w:val="21"/>
          <w:lang w:val="en-US" w:bidi="ar"/>
        </w:rPr>
        <w:t>2.内容必须填写真实、清楚、涂改无效，不得转让、买卖。</w:t>
      </w:r>
    </w:p>
    <w:p>
      <w:pPr>
        <w:spacing w:before="60" w:beforeLines="25" w:after="60" w:afterLines="25" w:line="360" w:lineRule="auto"/>
        <w:ind w:left="660" w:leftChars="300"/>
        <w:rPr>
          <w:sz w:val="21"/>
          <w:szCs w:val="21"/>
        </w:rPr>
      </w:pPr>
      <w:r>
        <w:rPr>
          <w:sz w:val="21"/>
          <w:szCs w:val="21"/>
          <w:lang w:val="en-US" w:bidi="ar"/>
        </w:rPr>
        <w:t>3.将此证明书提交对方作为合同附件。</w:t>
      </w:r>
    </w:p>
    <w:p>
      <w:pPr>
        <w:spacing w:before="60" w:beforeLines="25" w:after="60" w:afterLines="25" w:line="360" w:lineRule="auto"/>
        <w:rPr>
          <w:sz w:val="21"/>
          <w:szCs w:val="21"/>
        </w:rPr>
      </w:pPr>
    </w:p>
    <w:p>
      <w:pPr>
        <w:spacing w:before="60" w:beforeLines="25" w:after="60" w:afterLines="25" w:line="360" w:lineRule="auto"/>
        <w:rPr>
          <w:sz w:val="21"/>
          <w:szCs w:val="21"/>
        </w:rPr>
      </w:pPr>
    </w:p>
    <w:p>
      <w:pPr>
        <w:spacing w:before="60" w:beforeLines="25" w:after="60" w:afterLines="25" w:line="360" w:lineRule="auto"/>
        <w:rPr>
          <w:sz w:val="21"/>
          <w:szCs w:val="21"/>
        </w:rPr>
      </w:pPr>
    </w:p>
    <w:p>
      <w:pPr>
        <w:spacing w:before="60" w:beforeLines="25" w:after="60" w:afterLines="25" w:line="360" w:lineRule="auto"/>
        <w:rPr>
          <w:sz w:val="21"/>
          <w:szCs w:val="21"/>
        </w:rPr>
      </w:pPr>
    </w:p>
    <w:p>
      <w:pPr>
        <w:spacing w:before="60" w:beforeLines="25" w:after="60" w:afterLines="25" w:line="360" w:lineRule="auto"/>
        <w:rPr>
          <w:b/>
          <w:sz w:val="21"/>
          <w:szCs w:val="21"/>
        </w:rPr>
      </w:pPr>
      <w:r>
        <w:rPr>
          <w:b/>
          <w:sz w:val="21"/>
          <w:szCs w:val="21"/>
          <w:lang w:val="en-US" w:bidi="ar"/>
        </w:rPr>
        <w:t xml:space="preserve">(为避免无效响应，请供应商务必提供本附件) </w:t>
      </w:r>
    </w:p>
    <w:p>
      <w:pPr>
        <w:widowControl/>
        <w:autoSpaceDE/>
        <w:rPr>
          <w:b/>
          <w:sz w:val="21"/>
          <w:szCs w:val="21"/>
          <w:lang w:val="en-US"/>
        </w:rPr>
      </w:pPr>
      <w:r>
        <w:rPr>
          <w:b/>
          <w:sz w:val="21"/>
          <w:szCs w:val="21"/>
          <w:lang w:val="en-US" w:bidi="ar"/>
        </w:rPr>
        <w:t xml:space="preserve">      </w:t>
      </w:r>
    </w:p>
    <w:p>
      <w:pPr>
        <w:widowControl/>
        <w:autoSpaceDE/>
        <w:rPr>
          <w:b/>
          <w:sz w:val="21"/>
          <w:szCs w:val="21"/>
          <w:lang w:val="en-US"/>
        </w:rPr>
      </w:pPr>
      <w:r>
        <w:rPr>
          <w:sz w:val="21"/>
          <w:szCs w:val="21"/>
          <w:lang w:val="en-US" w:bidi="ar-SA"/>
        </w:rPr>
        <w:drawing>
          <wp:anchor distT="0" distB="0" distL="114300" distR="114300" simplePos="0" relativeHeight="251659264" behindDoc="0" locked="0" layoutInCell="1" allowOverlap="1">
            <wp:simplePos x="0" y="0"/>
            <wp:positionH relativeFrom="column">
              <wp:posOffset>241300</wp:posOffset>
            </wp:positionH>
            <wp:positionV relativeFrom="paragraph">
              <wp:posOffset>68580</wp:posOffset>
            </wp:positionV>
            <wp:extent cx="2352675" cy="1600200"/>
            <wp:effectExtent l="0" t="0" r="9525" b="0"/>
            <wp:wrapNone/>
            <wp:docPr id="9" name="图片 14"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wps4"/>
                    <pic:cNvPicPr>
                      <a:picLocks noChangeAspect="1"/>
                    </pic:cNvPicPr>
                  </pic:nvPicPr>
                  <pic:blipFill>
                    <a:blip r:embed="rId8"/>
                    <a:stretch>
                      <a:fillRect/>
                    </a:stretch>
                  </pic:blipFill>
                  <pic:spPr>
                    <a:xfrm>
                      <a:off x="0" y="0"/>
                      <a:ext cx="2352675" cy="1600200"/>
                    </a:xfrm>
                    <a:prstGeom prst="rect">
                      <a:avLst/>
                    </a:prstGeom>
                    <a:noFill/>
                    <a:ln>
                      <a:noFill/>
                    </a:ln>
                  </pic:spPr>
                </pic:pic>
              </a:graphicData>
            </a:graphic>
          </wp:anchor>
        </w:drawing>
      </w:r>
      <w:r>
        <w:rPr>
          <w:sz w:val="21"/>
          <w:szCs w:val="21"/>
          <w:lang w:val="en-US" w:bidi="ar-SA"/>
        </w:rPr>
        <w:drawing>
          <wp:anchor distT="0" distB="0" distL="114300" distR="114300" simplePos="0" relativeHeight="251660288" behindDoc="0" locked="0" layoutInCell="1" allowOverlap="1">
            <wp:simplePos x="0" y="0"/>
            <wp:positionH relativeFrom="column">
              <wp:posOffset>3298825</wp:posOffset>
            </wp:positionH>
            <wp:positionV relativeFrom="paragraph">
              <wp:posOffset>68580</wp:posOffset>
            </wp:positionV>
            <wp:extent cx="2352675" cy="1600200"/>
            <wp:effectExtent l="0" t="0" r="9525" b="0"/>
            <wp:wrapNone/>
            <wp:docPr id="8" name="图片 19" descr="w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9" descr="wps5"/>
                    <pic:cNvPicPr>
                      <a:picLocks noChangeAspect="1"/>
                    </pic:cNvPicPr>
                  </pic:nvPicPr>
                  <pic:blipFill>
                    <a:blip r:embed="rId9"/>
                    <a:stretch>
                      <a:fillRect/>
                    </a:stretch>
                  </pic:blipFill>
                  <pic:spPr>
                    <a:xfrm>
                      <a:off x="0" y="0"/>
                      <a:ext cx="2352675" cy="1600200"/>
                    </a:xfrm>
                    <a:prstGeom prst="rect">
                      <a:avLst/>
                    </a:prstGeom>
                    <a:noFill/>
                    <a:ln>
                      <a:noFill/>
                    </a:ln>
                  </pic:spPr>
                </pic:pic>
              </a:graphicData>
            </a:graphic>
          </wp:anchor>
        </w:drawing>
      </w:r>
      <w:r>
        <w:rPr>
          <w:b/>
          <w:sz w:val="21"/>
          <w:szCs w:val="21"/>
          <w:lang w:val="en-US" w:bidi="ar"/>
        </w:rPr>
        <w:br w:type="page"/>
      </w:r>
    </w:p>
    <w:p>
      <w:pPr>
        <w:tabs>
          <w:tab w:val="left" w:pos="3877"/>
        </w:tabs>
        <w:spacing w:before="72" w:after="240" w:afterLines="100" w:line="360" w:lineRule="auto"/>
        <w:ind w:right="3442"/>
        <w:jc w:val="right"/>
        <w:rPr>
          <w:b/>
          <w:spacing w:val="-3"/>
          <w:sz w:val="21"/>
          <w:szCs w:val="21"/>
        </w:rPr>
      </w:pPr>
      <w:r>
        <w:rPr>
          <w:b/>
          <w:sz w:val="21"/>
          <w:szCs w:val="21"/>
          <w:lang w:val="en-US" w:bidi="ar"/>
        </w:rPr>
        <w:t>(2)法定代表人/负责人授权委</w:t>
      </w:r>
      <w:r>
        <w:rPr>
          <w:rFonts w:hint="eastAsia"/>
          <w:b/>
          <w:spacing w:val="-3"/>
          <w:sz w:val="21"/>
          <w:szCs w:val="21"/>
          <w:lang w:val="en-US" w:bidi="ar"/>
        </w:rPr>
        <w:t>托书</w:t>
      </w:r>
    </w:p>
    <w:p>
      <w:pPr>
        <w:spacing w:after="240" w:afterLines="100" w:line="360" w:lineRule="auto"/>
        <w:rPr>
          <w:sz w:val="21"/>
          <w:szCs w:val="21"/>
        </w:rPr>
      </w:pPr>
      <w:r>
        <w:rPr>
          <w:rFonts w:hint="eastAsia"/>
          <w:sz w:val="21"/>
          <w:szCs w:val="21"/>
          <w:lang w:val="en-US" w:bidi="ar"/>
        </w:rPr>
        <w:t>致：</w:t>
      </w:r>
      <w:r>
        <w:rPr>
          <w:rFonts w:hint="eastAsia"/>
          <w:sz w:val="21"/>
          <w:szCs w:val="21"/>
          <w:u w:val="single"/>
          <w:lang w:val="en-US" w:bidi="ar"/>
        </w:rPr>
        <w:t>采购人</w:t>
      </w:r>
      <w:r>
        <w:rPr>
          <w:sz w:val="21"/>
          <w:szCs w:val="21"/>
          <w:u w:val="single"/>
          <w:lang w:val="en-US" w:bidi="ar"/>
        </w:rPr>
        <w:t>/采购代理机构</w:t>
      </w:r>
      <w:r>
        <w:rPr>
          <w:rFonts w:hint="eastAsia"/>
          <w:sz w:val="21"/>
          <w:szCs w:val="21"/>
          <w:lang w:val="en-US" w:bidi="ar"/>
        </w:rPr>
        <w:t>：</w:t>
      </w:r>
    </w:p>
    <w:p>
      <w:pPr>
        <w:pStyle w:val="16"/>
        <w:tabs>
          <w:tab w:val="left" w:pos="4035"/>
        </w:tabs>
        <w:autoSpaceDE w:val="0"/>
        <w:autoSpaceDN w:val="0"/>
        <w:spacing w:before="60" w:beforeLines="25" w:after="60" w:afterLines="25" w:line="360" w:lineRule="auto"/>
        <w:ind w:firstLine="420" w:firstLineChars="200"/>
        <w:jc w:val="left"/>
        <w:rPr>
          <w:rFonts w:ascii="宋体" w:hAnsi="宋体" w:cs="宋体"/>
          <w:sz w:val="21"/>
          <w:szCs w:val="21"/>
        </w:rPr>
      </w:pPr>
      <w:r>
        <w:rPr>
          <w:rFonts w:hint="eastAsia" w:ascii="宋体" w:hAnsi="宋体" w:cs="宋体"/>
          <w:kern w:val="0"/>
          <w:sz w:val="21"/>
          <w:szCs w:val="21"/>
          <w:lang w:bidi="ar"/>
        </w:rPr>
        <w:t>兹授</w:t>
      </w:r>
      <w:r>
        <w:rPr>
          <w:rFonts w:hint="eastAsia" w:ascii="宋体" w:hAnsi="宋体" w:cs="宋体"/>
          <w:spacing w:val="-3"/>
          <w:kern w:val="0"/>
          <w:sz w:val="21"/>
          <w:szCs w:val="21"/>
          <w:lang w:bidi="ar"/>
        </w:rPr>
        <w:t>权</w:t>
      </w:r>
      <w:r>
        <w:rPr>
          <w:rFonts w:ascii="宋体" w:hAnsi="宋体" w:cs="宋体"/>
          <w:spacing w:val="-3"/>
          <w:kern w:val="0"/>
          <w:sz w:val="21"/>
          <w:szCs w:val="21"/>
          <w:u w:val="single"/>
          <w:lang w:bidi="ar"/>
        </w:rPr>
        <w:t xml:space="preserve">                </w:t>
      </w:r>
      <w:r>
        <w:rPr>
          <w:rFonts w:hint="eastAsia" w:ascii="宋体" w:hAnsi="宋体" w:cs="宋体"/>
          <w:spacing w:val="-3"/>
          <w:kern w:val="0"/>
          <w:sz w:val="21"/>
          <w:szCs w:val="21"/>
          <w:lang w:bidi="ar"/>
        </w:rPr>
        <w:t>同志</w:t>
      </w:r>
      <w:r>
        <w:rPr>
          <w:rFonts w:hint="eastAsia" w:ascii="宋体" w:hAnsi="宋体" w:cs="宋体"/>
          <w:kern w:val="0"/>
          <w:sz w:val="21"/>
          <w:szCs w:val="21"/>
          <w:lang w:bidi="ar"/>
        </w:rPr>
        <w:t>，为</w:t>
      </w:r>
      <w:r>
        <w:rPr>
          <w:rFonts w:hint="eastAsia" w:ascii="宋体" w:hAnsi="宋体" w:cs="宋体"/>
          <w:spacing w:val="-3"/>
          <w:kern w:val="0"/>
          <w:sz w:val="21"/>
          <w:szCs w:val="21"/>
          <w:lang w:bidi="ar"/>
        </w:rPr>
        <w:t>我</w:t>
      </w:r>
      <w:r>
        <w:rPr>
          <w:rFonts w:hint="eastAsia" w:ascii="宋体" w:hAnsi="宋体" w:cs="宋体"/>
          <w:kern w:val="0"/>
          <w:sz w:val="21"/>
          <w:szCs w:val="21"/>
          <w:lang w:bidi="ar"/>
        </w:rPr>
        <w:t>方</w:t>
      </w:r>
      <w:r>
        <w:rPr>
          <w:rFonts w:hint="eastAsia" w:ascii="宋体" w:hAnsi="宋体" w:cs="宋体"/>
          <w:spacing w:val="-3"/>
          <w:kern w:val="0"/>
          <w:sz w:val="21"/>
          <w:szCs w:val="21"/>
          <w:lang w:bidi="ar"/>
        </w:rPr>
        <w:t>签</w:t>
      </w:r>
      <w:r>
        <w:rPr>
          <w:rFonts w:hint="eastAsia" w:ascii="宋体" w:hAnsi="宋体" w:cs="宋体"/>
          <w:kern w:val="0"/>
          <w:sz w:val="21"/>
          <w:szCs w:val="21"/>
          <w:lang w:bidi="ar"/>
        </w:rPr>
        <w:t>订</w:t>
      </w:r>
      <w:r>
        <w:rPr>
          <w:rFonts w:hint="eastAsia" w:ascii="宋体" w:hAnsi="宋体" w:cs="宋体"/>
          <w:spacing w:val="-3"/>
          <w:kern w:val="0"/>
          <w:sz w:val="21"/>
          <w:szCs w:val="21"/>
          <w:lang w:bidi="ar"/>
        </w:rPr>
        <w:t>经</w:t>
      </w:r>
      <w:r>
        <w:rPr>
          <w:rFonts w:hint="eastAsia" w:ascii="宋体" w:hAnsi="宋体" w:cs="宋体"/>
          <w:kern w:val="0"/>
          <w:sz w:val="21"/>
          <w:szCs w:val="21"/>
          <w:lang w:bidi="ar"/>
        </w:rPr>
        <w:t>济</w:t>
      </w:r>
      <w:r>
        <w:rPr>
          <w:rFonts w:hint="eastAsia" w:ascii="宋体" w:hAnsi="宋体" w:cs="宋体"/>
          <w:spacing w:val="-3"/>
          <w:kern w:val="0"/>
          <w:sz w:val="21"/>
          <w:szCs w:val="21"/>
          <w:lang w:bidi="ar"/>
        </w:rPr>
        <w:t>合</w:t>
      </w:r>
      <w:r>
        <w:rPr>
          <w:rFonts w:hint="eastAsia" w:ascii="宋体" w:hAnsi="宋体" w:cs="宋体"/>
          <w:kern w:val="0"/>
          <w:sz w:val="21"/>
          <w:szCs w:val="21"/>
          <w:lang w:bidi="ar"/>
        </w:rPr>
        <w:t>同</w:t>
      </w:r>
      <w:r>
        <w:rPr>
          <w:rFonts w:hint="eastAsia" w:ascii="宋体" w:hAnsi="宋体" w:cs="宋体"/>
          <w:spacing w:val="-3"/>
          <w:kern w:val="0"/>
          <w:sz w:val="21"/>
          <w:szCs w:val="21"/>
          <w:lang w:bidi="ar"/>
        </w:rPr>
        <w:t>及</w:t>
      </w:r>
      <w:r>
        <w:rPr>
          <w:rFonts w:hint="eastAsia" w:ascii="宋体" w:hAnsi="宋体" w:cs="宋体"/>
          <w:kern w:val="0"/>
          <w:sz w:val="21"/>
          <w:szCs w:val="21"/>
          <w:lang w:bidi="ar"/>
        </w:rPr>
        <w:t>办理</w:t>
      </w:r>
      <w:r>
        <w:rPr>
          <w:rFonts w:hint="eastAsia" w:ascii="宋体" w:hAnsi="宋体" w:cs="宋体"/>
          <w:spacing w:val="-3"/>
          <w:kern w:val="0"/>
          <w:sz w:val="21"/>
          <w:szCs w:val="21"/>
          <w:lang w:bidi="ar"/>
        </w:rPr>
        <w:t>其</w:t>
      </w:r>
      <w:r>
        <w:rPr>
          <w:rFonts w:hint="eastAsia" w:ascii="宋体" w:hAnsi="宋体" w:cs="宋体"/>
          <w:kern w:val="0"/>
          <w:sz w:val="21"/>
          <w:szCs w:val="21"/>
          <w:lang w:bidi="ar"/>
        </w:rPr>
        <w:t>他</w:t>
      </w:r>
      <w:r>
        <w:rPr>
          <w:rFonts w:hint="eastAsia" w:ascii="宋体" w:hAnsi="宋体" w:cs="宋体"/>
          <w:spacing w:val="-3"/>
          <w:kern w:val="0"/>
          <w:sz w:val="21"/>
          <w:szCs w:val="21"/>
          <w:lang w:bidi="ar"/>
        </w:rPr>
        <w:t>事</w:t>
      </w:r>
      <w:r>
        <w:rPr>
          <w:rFonts w:hint="eastAsia" w:ascii="宋体" w:hAnsi="宋体" w:cs="宋体"/>
          <w:kern w:val="0"/>
          <w:sz w:val="21"/>
          <w:szCs w:val="21"/>
          <w:lang w:bidi="ar"/>
        </w:rPr>
        <w:t>务</w:t>
      </w:r>
      <w:r>
        <w:rPr>
          <w:rFonts w:hint="eastAsia" w:ascii="宋体" w:hAnsi="宋体" w:cs="宋体"/>
          <w:spacing w:val="-3"/>
          <w:kern w:val="0"/>
          <w:sz w:val="21"/>
          <w:szCs w:val="21"/>
          <w:lang w:bidi="ar"/>
        </w:rPr>
        <w:t>代</w:t>
      </w:r>
      <w:r>
        <w:rPr>
          <w:rFonts w:hint="eastAsia" w:ascii="宋体" w:hAnsi="宋体" w:cs="宋体"/>
          <w:kern w:val="0"/>
          <w:sz w:val="21"/>
          <w:szCs w:val="21"/>
          <w:lang w:bidi="ar"/>
        </w:rPr>
        <w:t>理</w:t>
      </w:r>
      <w:r>
        <w:rPr>
          <w:rFonts w:hint="eastAsia" w:ascii="宋体" w:hAnsi="宋体" w:cs="宋体"/>
          <w:spacing w:val="-3"/>
          <w:kern w:val="0"/>
          <w:sz w:val="21"/>
          <w:szCs w:val="21"/>
          <w:lang w:bidi="ar"/>
        </w:rPr>
        <w:t>人</w:t>
      </w:r>
      <w:r>
        <w:rPr>
          <w:rFonts w:hint="eastAsia" w:ascii="宋体" w:hAnsi="宋体" w:cs="宋体"/>
          <w:kern w:val="0"/>
          <w:sz w:val="21"/>
          <w:szCs w:val="21"/>
          <w:lang w:bidi="ar"/>
        </w:rPr>
        <w:t>，</w:t>
      </w:r>
      <w:r>
        <w:rPr>
          <w:rFonts w:hint="eastAsia" w:ascii="宋体" w:hAnsi="宋体" w:cs="宋体"/>
          <w:spacing w:val="-3"/>
          <w:kern w:val="0"/>
          <w:sz w:val="21"/>
          <w:szCs w:val="21"/>
          <w:lang w:bidi="ar"/>
        </w:rPr>
        <w:t>其</w:t>
      </w:r>
      <w:r>
        <w:rPr>
          <w:rFonts w:hint="eastAsia" w:ascii="宋体" w:hAnsi="宋体" w:cs="宋体"/>
          <w:kern w:val="0"/>
          <w:sz w:val="21"/>
          <w:szCs w:val="21"/>
          <w:lang w:bidi="ar"/>
        </w:rPr>
        <w:t>权限</w:t>
      </w:r>
      <w:r>
        <w:rPr>
          <w:rFonts w:hint="eastAsia" w:ascii="宋体" w:hAnsi="宋体" w:cs="宋体"/>
          <w:spacing w:val="-3"/>
          <w:kern w:val="0"/>
          <w:sz w:val="21"/>
          <w:szCs w:val="21"/>
          <w:lang w:bidi="ar"/>
        </w:rPr>
        <w:t>是</w:t>
      </w:r>
      <w:r>
        <w:rPr>
          <w:rFonts w:hint="eastAsia" w:ascii="宋体" w:hAnsi="宋体" w:cs="宋体"/>
          <w:kern w:val="0"/>
          <w:sz w:val="21"/>
          <w:szCs w:val="21"/>
          <w:lang w:bidi="ar"/>
        </w:rPr>
        <w:t>：</w:t>
      </w:r>
    </w:p>
    <w:p>
      <w:pPr>
        <w:pStyle w:val="16"/>
        <w:tabs>
          <w:tab w:val="left" w:pos="4035"/>
        </w:tabs>
        <w:autoSpaceDE w:val="0"/>
        <w:autoSpaceDN w:val="0"/>
        <w:spacing w:before="60" w:beforeLines="25" w:after="60" w:afterLines="25" w:line="360" w:lineRule="auto"/>
        <w:jc w:val="left"/>
        <w:rPr>
          <w:rFonts w:ascii="宋体" w:hAnsi="宋体" w:cs="宋体"/>
          <w:sz w:val="21"/>
          <w:szCs w:val="21"/>
        </w:rPr>
      </w:pPr>
      <w:r>
        <w:rPr>
          <w:rFonts w:ascii="宋体" w:hAnsi="宋体" w:cs="宋体"/>
          <w:kern w:val="0"/>
          <w:sz w:val="21"/>
          <w:szCs w:val="21"/>
          <w:u w:val="single"/>
          <w:lang w:bidi="ar"/>
        </w:rPr>
        <w:t xml:space="preserve">                                                     </w:t>
      </w:r>
      <w:r>
        <w:rPr>
          <w:rFonts w:hint="eastAsia" w:ascii="宋体" w:hAnsi="宋体" w:cs="宋体"/>
          <w:kern w:val="0"/>
          <w:sz w:val="21"/>
          <w:szCs w:val="21"/>
          <w:lang w:bidi="ar"/>
        </w:rPr>
        <w:t>。</w:t>
      </w:r>
    </w:p>
    <w:tbl>
      <w:tblPr>
        <w:tblStyle w:val="18"/>
        <w:tblW w:w="8378" w:type="dxa"/>
        <w:tblInd w:w="0" w:type="dxa"/>
        <w:tblLayout w:type="fixed"/>
        <w:tblCellMar>
          <w:top w:w="0" w:type="dxa"/>
          <w:left w:w="0" w:type="dxa"/>
          <w:bottom w:w="0" w:type="dxa"/>
          <w:right w:w="0" w:type="dxa"/>
        </w:tblCellMar>
      </w:tblPr>
      <w:tblGrid>
        <w:gridCol w:w="1249"/>
        <w:gridCol w:w="2431"/>
        <w:gridCol w:w="1414"/>
        <w:gridCol w:w="1359"/>
        <w:gridCol w:w="1925"/>
      </w:tblGrid>
      <w:tr>
        <w:tblPrEx>
          <w:tblCellMar>
            <w:top w:w="0" w:type="dxa"/>
            <w:left w:w="0" w:type="dxa"/>
            <w:bottom w:w="0" w:type="dxa"/>
            <w:right w:w="0" w:type="dxa"/>
          </w:tblCellMar>
        </w:tblPrEx>
        <w:trPr>
          <w:trHeight w:val="374" w:hRule="atLeast"/>
        </w:trPr>
        <w:tc>
          <w:tcPr>
            <w:tcW w:w="1249" w:type="dxa"/>
            <w:tcBorders>
              <w:tl2br w:val="nil"/>
              <w:tr2bl w:val="nil"/>
            </w:tcBorders>
            <w:shd w:val="clear" w:color="auto" w:fill="auto"/>
          </w:tcPr>
          <w:p>
            <w:pPr>
              <w:pStyle w:val="16"/>
              <w:autoSpaceDE w:val="0"/>
              <w:autoSpaceDN w:val="0"/>
              <w:spacing w:line="241" w:lineRule="exact"/>
              <w:ind w:left="50"/>
              <w:jc w:val="left"/>
              <w:rPr>
                <w:rFonts w:ascii="宋体" w:hAnsi="宋体" w:cs="宋体"/>
                <w:sz w:val="21"/>
                <w:szCs w:val="21"/>
              </w:rPr>
            </w:pPr>
            <w:r>
              <w:rPr>
                <w:rFonts w:hint="eastAsia" w:ascii="宋体" w:hAnsi="宋体" w:cs="宋体"/>
                <w:kern w:val="0"/>
                <w:sz w:val="21"/>
                <w:szCs w:val="21"/>
                <w:lang w:bidi="ar"/>
              </w:rPr>
              <w:t>授权单位：</w:t>
            </w:r>
          </w:p>
        </w:tc>
        <w:tc>
          <w:tcPr>
            <w:tcW w:w="2431" w:type="dxa"/>
            <w:tcBorders>
              <w:tl2br w:val="nil"/>
              <w:tr2bl w:val="nil"/>
            </w:tcBorders>
            <w:shd w:val="clear" w:color="auto" w:fill="auto"/>
          </w:tcPr>
          <w:p>
            <w:pPr>
              <w:pStyle w:val="16"/>
              <w:autoSpaceDE w:val="0"/>
              <w:autoSpaceDN w:val="0"/>
              <w:spacing w:line="241" w:lineRule="exact"/>
              <w:ind w:left="419"/>
              <w:jc w:val="left"/>
              <w:rPr>
                <w:rFonts w:ascii="宋体" w:hAnsi="宋体" w:cs="宋体"/>
                <w:sz w:val="21"/>
                <w:szCs w:val="21"/>
              </w:rPr>
            </w:pPr>
            <w:r>
              <w:rPr>
                <w:rFonts w:hint="eastAsia" w:ascii="宋体" w:hAnsi="宋体" w:cs="宋体"/>
                <w:kern w:val="0"/>
                <w:sz w:val="21"/>
                <w:szCs w:val="21"/>
                <w:u w:val="single"/>
                <w:lang w:bidi="ar"/>
              </w:rPr>
              <w:t>（盖章）</w:t>
            </w:r>
          </w:p>
        </w:tc>
        <w:tc>
          <w:tcPr>
            <w:tcW w:w="1414" w:type="dxa"/>
            <w:tcBorders>
              <w:tl2br w:val="nil"/>
              <w:tr2bl w:val="nil"/>
            </w:tcBorders>
            <w:shd w:val="clear" w:color="auto" w:fill="auto"/>
          </w:tcPr>
          <w:p>
            <w:pPr>
              <w:pStyle w:val="16"/>
              <w:autoSpaceDE w:val="0"/>
              <w:autoSpaceDN w:val="0"/>
              <w:spacing w:line="241" w:lineRule="exact"/>
              <w:ind w:left="87" w:right="134"/>
              <w:jc w:val="center"/>
              <w:rPr>
                <w:rFonts w:ascii="宋体" w:hAnsi="宋体" w:cs="宋体"/>
                <w:sz w:val="21"/>
                <w:szCs w:val="21"/>
              </w:rPr>
            </w:pPr>
            <w:r>
              <w:rPr>
                <w:rFonts w:hint="eastAsia" w:ascii="宋体" w:hAnsi="宋体" w:cs="宋体"/>
                <w:kern w:val="0"/>
                <w:sz w:val="21"/>
                <w:szCs w:val="21"/>
                <w:lang w:bidi="ar"/>
              </w:rPr>
              <w:t>法定代表人</w:t>
            </w:r>
          </w:p>
        </w:tc>
        <w:tc>
          <w:tcPr>
            <w:tcW w:w="1359" w:type="dxa"/>
            <w:tcBorders>
              <w:tl2br w:val="nil"/>
              <w:tr2bl w:val="nil"/>
            </w:tcBorders>
            <w:shd w:val="clear" w:color="auto" w:fill="auto"/>
          </w:tcPr>
          <w:p>
            <w:pPr>
              <w:pStyle w:val="16"/>
              <w:autoSpaceDE w:val="0"/>
              <w:autoSpaceDN w:val="0"/>
              <w:jc w:val="left"/>
              <w:rPr>
                <w:rFonts w:ascii="宋体" w:hAnsi="宋体" w:cs="宋体"/>
                <w:sz w:val="21"/>
                <w:szCs w:val="21"/>
              </w:rPr>
            </w:pPr>
          </w:p>
        </w:tc>
        <w:tc>
          <w:tcPr>
            <w:tcW w:w="1925" w:type="dxa"/>
            <w:tcBorders>
              <w:tl2br w:val="nil"/>
              <w:tr2bl w:val="nil"/>
            </w:tcBorders>
            <w:shd w:val="clear" w:color="auto" w:fill="auto"/>
          </w:tcPr>
          <w:p>
            <w:pPr>
              <w:pStyle w:val="16"/>
              <w:autoSpaceDE w:val="0"/>
              <w:autoSpaceDN w:val="0"/>
              <w:spacing w:line="241" w:lineRule="exact"/>
              <w:ind w:left="52"/>
              <w:jc w:val="left"/>
              <w:rPr>
                <w:rFonts w:ascii="宋体" w:hAnsi="宋体" w:cs="宋体"/>
                <w:sz w:val="21"/>
                <w:szCs w:val="21"/>
              </w:rPr>
            </w:pPr>
            <w:r>
              <w:rPr>
                <w:rFonts w:hint="eastAsia" w:ascii="宋体" w:hAnsi="宋体" w:cs="宋体"/>
                <w:kern w:val="0"/>
                <w:sz w:val="21"/>
                <w:szCs w:val="21"/>
                <w:u w:val="single"/>
                <w:lang w:bidi="ar"/>
              </w:rPr>
              <w:t>（签名或盖私章）</w:t>
            </w:r>
          </w:p>
        </w:tc>
      </w:tr>
      <w:tr>
        <w:tblPrEx>
          <w:tblCellMar>
            <w:top w:w="0" w:type="dxa"/>
            <w:left w:w="0" w:type="dxa"/>
            <w:bottom w:w="0" w:type="dxa"/>
            <w:right w:w="0" w:type="dxa"/>
          </w:tblCellMar>
        </w:tblPrEx>
        <w:trPr>
          <w:trHeight w:val="577" w:hRule="atLeast"/>
        </w:trPr>
        <w:tc>
          <w:tcPr>
            <w:tcW w:w="1249" w:type="dxa"/>
            <w:tcBorders>
              <w:tl2br w:val="nil"/>
              <w:tr2bl w:val="nil"/>
            </w:tcBorders>
            <w:shd w:val="clear" w:color="auto" w:fill="auto"/>
          </w:tcPr>
          <w:p>
            <w:pPr>
              <w:pStyle w:val="16"/>
              <w:autoSpaceDE w:val="0"/>
              <w:autoSpaceDN w:val="0"/>
              <w:spacing w:before="130" w:line="220" w:lineRule="exact"/>
              <w:ind w:left="50"/>
              <w:jc w:val="left"/>
              <w:rPr>
                <w:rFonts w:ascii="宋体" w:hAnsi="宋体" w:cs="宋体"/>
                <w:sz w:val="21"/>
                <w:szCs w:val="21"/>
              </w:rPr>
            </w:pPr>
            <w:r>
              <w:rPr>
                <w:rFonts w:hint="eastAsia" w:ascii="宋体" w:hAnsi="宋体" w:cs="宋体"/>
                <w:kern w:val="0"/>
                <w:sz w:val="21"/>
                <w:szCs w:val="21"/>
                <w:lang w:bidi="ar"/>
              </w:rPr>
              <w:t>有效期限：</w:t>
            </w:r>
          </w:p>
        </w:tc>
        <w:tc>
          <w:tcPr>
            <w:tcW w:w="3845" w:type="dxa"/>
            <w:gridSpan w:val="2"/>
            <w:tcBorders>
              <w:tl2br w:val="nil"/>
              <w:tr2bl w:val="nil"/>
            </w:tcBorders>
            <w:shd w:val="clear" w:color="auto" w:fill="auto"/>
          </w:tcPr>
          <w:p>
            <w:pPr>
              <w:pStyle w:val="16"/>
              <w:autoSpaceDE w:val="0"/>
              <w:autoSpaceDN w:val="0"/>
              <w:spacing w:before="130" w:line="220" w:lineRule="exact"/>
              <w:ind w:right="52"/>
              <w:jc w:val="center"/>
              <w:rPr>
                <w:rFonts w:ascii="宋体" w:hAnsi="宋体" w:cs="宋体"/>
                <w:sz w:val="21"/>
                <w:szCs w:val="21"/>
              </w:rPr>
            </w:pPr>
            <w:r>
              <w:rPr>
                <w:rFonts w:hint="eastAsia" w:ascii="宋体" w:hAnsi="宋体" w:cs="宋体"/>
                <w:kern w:val="0"/>
                <w:sz w:val="21"/>
                <w:szCs w:val="21"/>
                <w:lang w:bidi="ar"/>
              </w:rPr>
              <w:t>与本公司响应文件中标注的磋商有效期相同</w:t>
            </w:r>
          </w:p>
        </w:tc>
        <w:tc>
          <w:tcPr>
            <w:tcW w:w="1359" w:type="dxa"/>
            <w:tcBorders>
              <w:tl2br w:val="nil"/>
              <w:tr2bl w:val="nil"/>
            </w:tcBorders>
            <w:shd w:val="clear" w:color="auto" w:fill="auto"/>
          </w:tcPr>
          <w:p>
            <w:pPr>
              <w:pStyle w:val="16"/>
              <w:autoSpaceDE w:val="0"/>
              <w:autoSpaceDN w:val="0"/>
              <w:spacing w:before="130" w:line="220" w:lineRule="exact"/>
              <w:ind w:left="154"/>
              <w:jc w:val="left"/>
              <w:rPr>
                <w:rFonts w:ascii="宋体" w:hAnsi="宋体" w:cs="宋体"/>
                <w:sz w:val="21"/>
                <w:szCs w:val="21"/>
              </w:rPr>
            </w:pPr>
            <w:r>
              <w:rPr>
                <w:rFonts w:hint="eastAsia" w:ascii="宋体" w:hAnsi="宋体" w:cs="宋体"/>
                <w:kern w:val="0"/>
                <w:sz w:val="21"/>
                <w:szCs w:val="21"/>
                <w:lang w:bidi="ar"/>
              </w:rPr>
              <w:t>签发日期：</w:t>
            </w:r>
          </w:p>
        </w:tc>
        <w:tc>
          <w:tcPr>
            <w:tcW w:w="1925" w:type="dxa"/>
            <w:tcBorders>
              <w:tl2br w:val="nil"/>
              <w:tr2bl w:val="nil"/>
            </w:tcBorders>
            <w:shd w:val="clear" w:color="auto" w:fill="auto"/>
          </w:tcPr>
          <w:p>
            <w:pPr>
              <w:rPr>
                <w:kern w:val="2"/>
                <w:sz w:val="21"/>
                <w:szCs w:val="21"/>
                <w:u w:val="single"/>
                <w:lang w:val="en-US"/>
              </w:rPr>
            </w:pPr>
            <w:r>
              <w:rPr>
                <w:kern w:val="2"/>
                <w:sz w:val="21"/>
                <w:szCs w:val="21"/>
                <w:u w:val="single"/>
                <w:lang w:val="en-US"/>
              </w:rPr>
              <w:t xml:space="preserve">              </w:t>
            </w:r>
          </w:p>
        </w:tc>
      </w:tr>
    </w:tbl>
    <w:p>
      <w:pPr>
        <w:spacing w:before="240" w:beforeLines="100" w:after="60" w:afterLines="25" w:line="360" w:lineRule="auto"/>
        <w:rPr>
          <w:sz w:val="21"/>
          <w:szCs w:val="21"/>
        </w:rPr>
      </w:pPr>
      <w:r>
        <w:rPr>
          <w:rFonts w:hint="eastAsia"/>
          <w:sz w:val="21"/>
          <w:szCs w:val="21"/>
          <w:lang w:val="en-US" w:bidi="ar"/>
        </w:rPr>
        <w:t>附：代理人性别：</w:t>
      </w:r>
      <w:r>
        <w:rPr>
          <w:sz w:val="21"/>
          <w:szCs w:val="21"/>
          <w:u w:val="single"/>
          <w:lang w:val="en-US" w:bidi="ar"/>
        </w:rPr>
        <w:t xml:space="preserve"> </w:t>
      </w:r>
      <w:r>
        <w:rPr>
          <w:sz w:val="21"/>
          <w:szCs w:val="21"/>
          <w:u w:val="single"/>
          <w:lang w:val="en-US" w:bidi="ar"/>
        </w:rPr>
        <w:tab/>
      </w:r>
      <w:r>
        <w:rPr>
          <w:sz w:val="21"/>
          <w:szCs w:val="21"/>
          <w:u w:val="single"/>
          <w:lang w:val="en-US" w:bidi="ar"/>
        </w:rPr>
        <w:t xml:space="preserve">     </w:t>
      </w:r>
      <w:r>
        <w:rPr>
          <w:rFonts w:hint="eastAsia"/>
          <w:sz w:val="21"/>
          <w:szCs w:val="21"/>
          <w:lang w:val="en-US" w:bidi="ar"/>
        </w:rPr>
        <w:t>年龄：</w:t>
      </w:r>
      <w:r>
        <w:rPr>
          <w:sz w:val="21"/>
          <w:szCs w:val="21"/>
          <w:u w:val="single"/>
          <w:lang w:val="en-US" w:bidi="ar"/>
        </w:rPr>
        <w:t xml:space="preserve"> </w:t>
      </w:r>
      <w:r>
        <w:rPr>
          <w:sz w:val="21"/>
          <w:szCs w:val="21"/>
          <w:u w:val="single"/>
          <w:lang w:val="en-US" w:bidi="ar"/>
        </w:rPr>
        <w:tab/>
      </w:r>
      <w:r>
        <w:rPr>
          <w:sz w:val="21"/>
          <w:szCs w:val="21"/>
          <w:u w:val="single"/>
          <w:lang w:val="en-US" w:bidi="ar"/>
        </w:rPr>
        <w:t xml:space="preserve">       </w:t>
      </w:r>
      <w:r>
        <w:rPr>
          <w:rFonts w:hint="eastAsia"/>
          <w:sz w:val="21"/>
          <w:szCs w:val="21"/>
          <w:lang w:val="en-US" w:bidi="ar"/>
        </w:rPr>
        <w:t>职务：</w:t>
      </w:r>
      <w:r>
        <w:rPr>
          <w:sz w:val="21"/>
          <w:szCs w:val="21"/>
          <w:u w:val="single"/>
          <w:lang w:val="en-US" w:bidi="ar"/>
        </w:rPr>
        <w:t xml:space="preserve"> </w:t>
      </w:r>
      <w:r>
        <w:rPr>
          <w:sz w:val="21"/>
          <w:szCs w:val="21"/>
          <w:u w:val="single"/>
          <w:lang w:val="en-US" w:bidi="ar"/>
        </w:rPr>
        <w:tab/>
      </w:r>
      <w:r>
        <w:rPr>
          <w:sz w:val="21"/>
          <w:szCs w:val="21"/>
          <w:u w:val="single"/>
          <w:lang w:val="en-US" w:bidi="ar"/>
        </w:rPr>
        <w:t xml:space="preserve">          </w:t>
      </w:r>
      <w:r>
        <w:rPr>
          <w:rFonts w:hint="eastAsia"/>
          <w:sz w:val="21"/>
          <w:szCs w:val="21"/>
          <w:lang w:val="en-US" w:bidi="ar"/>
        </w:rPr>
        <w:t>身份证号码：</w:t>
      </w:r>
      <w:r>
        <w:rPr>
          <w:sz w:val="21"/>
          <w:szCs w:val="21"/>
          <w:u w:val="single"/>
          <w:lang w:val="en-US" w:bidi="ar"/>
        </w:rPr>
        <w:t xml:space="preserve"> </w:t>
      </w:r>
      <w:r>
        <w:rPr>
          <w:sz w:val="21"/>
          <w:szCs w:val="21"/>
          <w:u w:val="single"/>
          <w:lang w:val="en-US" w:bidi="ar"/>
        </w:rPr>
        <w:tab/>
      </w:r>
      <w:r>
        <w:rPr>
          <w:sz w:val="21"/>
          <w:szCs w:val="21"/>
          <w:u w:val="single"/>
          <w:lang w:val="en-US" w:bidi="ar"/>
        </w:rPr>
        <w:t xml:space="preserve">               </w:t>
      </w:r>
    </w:p>
    <w:p>
      <w:pPr>
        <w:spacing w:before="60" w:beforeLines="25" w:after="60" w:afterLines="25" w:line="360" w:lineRule="auto"/>
        <w:ind w:firstLine="420" w:firstLineChars="200"/>
        <w:rPr>
          <w:sz w:val="21"/>
          <w:szCs w:val="21"/>
        </w:rPr>
      </w:pPr>
      <w:r>
        <w:rPr>
          <w:rFonts w:hint="eastAsia"/>
          <w:sz w:val="21"/>
          <w:szCs w:val="21"/>
          <w:lang w:val="en-US" w:bidi="ar"/>
        </w:rPr>
        <w:t>代理人签名：</w:t>
      </w:r>
      <w:r>
        <w:rPr>
          <w:sz w:val="21"/>
          <w:szCs w:val="21"/>
          <w:u w:val="single"/>
          <w:lang w:val="en-US" w:bidi="ar"/>
        </w:rPr>
        <w:t xml:space="preserve">            </w:t>
      </w:r>
    </w:p>
    <w:p>
      <w:pPr>
        <w:spacing w:before="60" w:beforeLines="25" w:after="60" w:afterLines="25" w:line="360" w:lineRule="auto"/>
        <w:rPr>
          <w:sz w:val="21"/>
          <w:szCs w:val="21"/>
        </w:rPr>
      </w:pPr>
      <w:r>
        <w:rPr>
          <w:rFonts w:hint="eastAsia"/>
          <w:sz w:val="21"/>
          <w:szCs w:val="21"/>
          <w:lang w:val="en-US" w:bidi="ar"/>
        </w:rPr>
        <w:t>联系电话：</w:t>
      </w:r>
    </w:p>
    <w:p>
      <w:pPr>
        <w:spacing w:before="60" w:beforeLines="25" w:after="60" w:afterLines="25" w:line="360" w:lineRule="auto"/>
        <w:rPr>
          <w:sz w:val="21"/>
          <w:szCs w:val="21"/>
        </w:rPr>
      </w:pPr>
      <w:r>
        <w:rPr>
          <w:rFonts w:hint="eastAsia"/>
          <w:sz w:val="21"/>
          <w:szCs w:val="21"/>
          <w:lang w:val="en-US" w:bidi="ar"/>
        </w:rPr>
        <w:t>营业执照号码：</w:t>
      </w:r>
      <w:r>
        <w:rPr>
          <w:sz w:val="21"/>
          <w:szCs w:val="21"/>
          <w:lang w:val="en-US" w:bidi="ar"/>
        </w:rPr>
        <w:tab/>
      </w:r>
      <w:r>
        <w:rPr>
          <w:sz w:val="21"/>
          <w:szCs w:val="21"/>
          <w:lang w:val="en-US" w:bidi="ar"/>
        </w:rPr>
        <w:t xml:space="preserve">                          经济性质：</w:t>
      </w:r>
    </w:p>
    <w:p>
      <w:pPr>
        <w:spacing w:before="60" w:beforeLines="25" w:after="60" w:afterLines="25" w:line="360" w:lineRule="auto"/>
        <w:rPr>
          <w:sz w:val="21"/>
          <w:szCs w:val="21"/>
        </w:rPr>
      </w:pPr>
      <w:r>
        <w:rPr>
          <w:rFonts w:hint="eastAsia"/>
          <w:sz w:val="21"/>
          <w:szCs w:val="21"/>
          <w:lang w:val="en-US" w:bidi="ar"/>
        </w:rPr>
        <w:t>主营（产）：</w:t>
      </w:r>
    </w:p>
    <w:p>
      <w:pPr>
        <w:spacing w:before="60" w:beforeLines="25" w:after="60" w:afterLines="25" w:line="360" w:lineRule="auto"/>
        <w:rPr>
          <w:sz w:val="21"/>
          <w:szCs w:val="21"/>
        </w:rPr>
      </w:pPr>
      <w:r>
        <w:rPr>
          <w:rFonts w:hint="eastAsia"/>
          <w:sz w:val="21"/>
          <w:szCs w:val="21"/>
          <w:lang w:val="en-US" w:bidi="ar"/>
        </w:rPr>
        <w:t>兼营（产）：</w:t>
      </w:r>
    </w:p>
    <w:p>
      <w:pPr>
        <w:spacing w:before="60" w:beforeLines="25" w:after="60" w:afterLines="25" w:line="360" w:lineRule="auto"/>
        <w:rPr>
          <w:sz w:val="21"/>
          <w:szCs w:val="21"/>
        </w:rPr>
      </w:pPr>
      <w:r>
        <w:rPr>
          <w:rFonts w:hint="eastAsia"/>
          <w:sz w:val="21"/>
          <w:szCs w:val="21"/>
          <w:lang w:val="en-US" w:bidi="ar"/>
        </w:rPr>
        <w:t>进口物品经营许可证号码：</w:t>
      </w:r>
    </w:p>
    <w:p>
      <w:pPr>
        <w:spacing w:before="60" w:beforeLines="25" w:after="60" w:afterLines="25" w:line="360" w:lineRule="auto"/>
        <w:rPr>
          <w:sz w:val="21"/>
          <w:szCs w:val="21"/>
        </w:rPr>
      </w:pPr>
      <w:r>
        <w:rPr>
          <w:rFonts w:hint="eastAsia"/>
          <w:sz w:val="21"/>
          <w:szCs w:val="21"/>
          <w:lang w:val="en-US" w:bidi="ar"/>
        </w:rPr>
        <w:t>主营：</w:t>
      </w:r>
    </w:p>
    <w:p>
      <w:pPr>
        <w:spacing w:before="60" w:beforeLines="25" w:after="60" w:afterLines="25" w:line="360" w:lineRule="auto"/>
        <w:rPr>
          <w:sz w:val="21"/>
          <w:szCs w:val="21"/>
        </w:rPr>
      </w:pPr>
      <w:r>
        <w:rPr>
          <w:rFonts w:hint="eastAsia"/>
          <w:sz w:val="21"/>
          <w:szCs w:val="21"/>
          <w:lang w:val="en-US" w:bidi="ar"/>
        </w:rPr>
        <w:t>兼营：</w:t>
      </w:r>
    </w:p>
    <w:p>
      <w:pPr>
        <w:spacing w:before="60" w:beforeLines="25" w:after="60" w:afterLines="25" w:line="360" w:lineRule="auto"/>
        <w:rPr>
          <w:sz w:val="21"/>
          <w:szCs w:val="21"/>
        </w:rPr>
      </w:pPr>
      <w:r>
        <w:rPr>
          <w:rFonts w:hint="eastAsia"/>
          <w:sz w:val="21"/>
          <w:szCs w:val="21"/>
          <w:lang w:val="en-US" w:bidi="ar"/>
        </w:rPr>
        <w:t>说明：</w:t>
      </w:r>
      <w:r>
        <w:rPr>
          <w:sz w:val="21"/>
          <w:szCs w:val="21"/>
          <w:lang w:val="en-US" w:bidi="ar"/>
        </w:rPr>
        <w:t>1.法定代表人为企业事业单位、国家机关、社会团体的主要行政负责人。</w:t>
      </w:r>
    </w:p>
    <w:p>
      <w:pPr>
        <w:spacing w:before="60" w:beforeLines="25" w:after="60" w:afterLines="25" w:line="360" w:lineRule="auto"/>
        <w:ind w:left="660" w:leftChars="300"/>
        <w:rPr>
          <w:sz w:val="21"/>
          <w:szCs w:val="21"/>
        </w:rPr>
      </w:pPr>
      <w:r>
        <w:rPr>
          <w:sz w:val="21"/>
          <w:szCs w:val="21"/>
          <w:lang w:val="en-US" w:bidi="ar"/>
        </w:rPr>
        <w:t>2.内容必须填写真实、清楚、涂改无效，不得转让、买卖。</w:t>
      </w:r>
    </w:p>
    <w:p>
      <w:pPr>
        <w:spacing w:before="60" w:beforeLines="25" w:after="60" w:afterLines="25" w:line="360" w:lineRule="auto"/>
        <w:ind w:left="660" w:leftChars="300"/>
        <w:rPr>
          <w:sz w:val="21"/>
          <w:szCs w:val="21"/>
        </w:rPr>
      </w:pPr>
      <w:r>
        <w:rPr>
          <w:sz w:val="21"/>
          <w:szCs w:val="21"/>
          <w:lang w:val="en-US" w:bidi="ar"/>
        </w:rPr>
        <w:t>3.将此证明书提交对方作为合同附件。</w:t>
      </w:r>
    </w:p>
    <w:p>
      <w:pPr>
        <w:spacing w:before="60" w:beforeLines="25" w:after="60" w:afterLines="25" w:line="360" w:lineRule="auto"/>
        <w:ind w:left="660" w:leftChars="300"/>
        <w:rPr>
          <w:sz w:val="21"/>
          <w:szCs w:val="21"/>
        </w:rPr>
      </w:pPr>
      <w:r>
        <w:rPr>
          <w:sz w:val="21"/>
          <w:szCs w:val="21"/>
          <w:lang w:val="en-US" w:bidi="ar"/>
        </w:rPr>
        <w:t xml:space="preserve">4.授权权限：全权代表本公司参与上述采购项目的磋商响应，负责提供与签署确认一切文书资料， </w:t>
      </w:r>
      <w:r>
        <w:rPr>
          <w:rFonts w:hint="eastAsia"/>
          <w:sz w:val="21"/>
          <w:szCs w:val="21"/>
          <w:lang w:val="en-US" w:bidi="ar"/>
        </w:rPr>
        <w:t>以及向贵方递交的任何补充承诺。</w:t>
      </w:r>
    </w:p>
    <w:p>
      <w:pPr>
        <w:spacing w:before="60" w:beforeLines="25" w:after="60" w:afterLines="25" w:line="360" w:lineRule="auto"/>
        <w:ind w:left="660" w:leftChars="300"/>
        <w:rPr>
          <w:sz w:val="21"/>
          <w:szCs w:val="21"/>
        </w:rPr>
      </w:pPr>
      <w:r>
        <w:rPr>
          <w:sz w:val="21"/>
          <w:szCs w:val="21"/>
          <w:lang w:val="en-US" w:bidi="ar"/>
        </w:rPr>
        <w:t>5.有效期限：与本公司响应文件中标注的磋商有效期相同，自本单位盖公章之日起生效。</w:t>
      </w:r>
    </w:p>
    <w:p>
      <w:pPr>
        <w:spacing w:before="60" w:beforeLines="25" w:after="60" w:afterLines="25" w:line="360" w:lineRule="auto"/>
        <w:ind w:left="660" w:leftChars="300"/>
        <w:rPr>
          <w:sz w:val="21"/>
          <w:szCs w:val="21"/>
        </w:rPr>
      </w:pPr>
      <w:r>
        <w:rPr>
          <w:sz w:val="21"/>
          <w:szCs w:val="21"/>
          <w:lang w:val="en-US" w:bidi="ar"/>
        </w:rPr>
        <w:t>6.磋商签字代表为法定代表人，则本表不适用。</w:t>
      </w:r>
    </w:p>
    <w:p>
      <w:pPr>
        <w:widowControl/>
        <w:autoSpaceDE/>
        <w:rPr>
          <w:sz w:val="21"/>
          <w:szCs w:val="21"/>
        </w:rPr>
      </w:pPr>
      <w:r>
        <w:rPr>
          <w:sz w:val="21"/>
          <w:szCs w:val="21"/>
          <w:lang w:val="en-US" w:bidi="ar-SA"/>
        </w:rPr>
        <w:drawing>
          <wp:anchor distT="0" distB="0" distL="114300" distR="114300" simplePos="0" relativeHeight="251662336" behindDoc="0" locked="0" layoutInCell="1" allowOverlap="1">
            <wp:simplePos x="0" y="0"/>
            <wp:positionH relativeFrom="column">
              <wp:posOffset>3632200</wp:posOffset>
            </wp:positionH>
            <wp:positionV relativeFrom="paragraph">
              <wp:posOffset>134620</wp:posOffset>
            </wp:positionV>
            <wp:extent cx="2352675" cy="1600200"/>
            <wp:effectExtent l="0" t="0" r="9525" b="0"/>
            <wp:wrapNone/>
            <wp:docPr id="7" name="图片 29" descr="wp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9" descr="wps7"/>
                    <pic:cNvPicPr>
                      <a:picLocks noChangeAspect="1"/>
                    </pic:cNvPicPr>
                  </pic:nvPicPr>
                  <pic:blipFill>
                    <a:blip r:embed="rId10"/>
                    <a:stretch>
                      <a:fillRect/>
                    </a:stretch>
                  </pic:blipFill>
                  <pic:spPr>
                    <a:xfrm>
                      <a:off x="0" y="0"/>
                      <a:ext cx="2352675" cy="1600200"/>
                    </a:xfrm>
                    <a:prstGeom prst="rect">
                      <a:avLst/>
                    </a:prstGeom>
                    <a:noFill/>
                    <a:ln>
                      <a:noFill/>
                    </a:ln>
                  </pic:spPr>
                </pic:pic>
              </a:graphicData>
            </a:graphic>
          </wp:anchor>
        </w:drawing>
      </w:r>
      <w:r>
        <w:rPr>
          <w:sz w:val="21"/>
          <w:szCs w:val="21"/>
          <w:lang w:val="en-US" w:bidi="ar-SA"/>
        </w:rPr>
        <w:drawing>
          <wp:anchor distT="0" distB="0" distL="114300" distR="114300" simplePos="0" relativeHeight="251661312" behindDoc="0" locked="0" layoutInCell="1" allowOverlap="1">
            <wp:simplePos x="0" y="0"/>
            <wp:positionH relativeFrom="column">
              <wp:posOffset>288925</wp:posOffset>
            </wp:positionH>
            <wp:positionV relativeFrom="paragraph">
              <wp:posOffset>134620</wp:posOffset>
            </wp:positionV>
            <wp:extent cx="2352675" cy="1600200"/>
            <wp:effectExtent l="0" t="0" r="9525" b="0"/>
            <wp:wrapNone/>
            <wp:docPr id="6" name="图片 24" descr="wp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descr="wps6"/>
                    <pic:cNvPicPr>
                      <a:picLocks noChangeAspect="1"/>
                    </pic:cNvPicPr>
                  </pic:nvPicPr>
                  <pic:blipFill>
                    <a:blip r:embed="rId11"/>
                    <a:stretch>
                      <a:fillRect/>
                    </a:stretch>
                  </pic:blipFill>
                  <pic:spPr>
                    <a:xfrm>
                      <a:off x="0" y="0"/>
                      <a:ext cx="2352675" cy="1600200"/>
                    </a:xfrm>
                    <a:prstGeom prst="rect">
                      <a:avLst/>
                    </a:prstGeom>
                    <a:noFill/>
                    <a:ln>
                      <a:noFill/>
                    </a:ln>
                  </pic:spPr>
                </pic:pic>
              </a:graphicData>
            </a:graphic>
          </wp:anchor>
        </w:drawing>
      </w:r>
    </w:p>
    <w:p>
      <w:pPr>
        <w:spacing w:before="60" w:beforeLines="25" w:after="60" w:afterLines="25" w:line="360" w:lineRule="auto"/>
        <w:rPr>
          <w:sz w:val="21"/>
          <w:szCs w:val="21"/>
        </w:rPr>
      </w:pPr>
    </w:p>
    <w:p>
      <w:pPr>
        <w:widowControl/>
        <w:autoSpaceDE/>
        <w:rPr>
          <w:sz w:val="21"/>
          <w:szCs w:val="21"/>
        </w:rPr>
        <w:sectPr>
          <w:pgSz w:w="11910" w:h="16840"/>
          <w:pgMar w:top="1440" w:right="1080" w:bottom="1440" w:left="1080" w:header="945" w:footer="893" w:gutter="0"/>
          <w:cols w:space="720" w:num="1"/>
        </w:sectPr>
      </w:pPr>
      <w:r>
        <w:rPr>
          <w:b/>
          <w:sz w:val="21"/>
          <w:szCs w:val="21"/>
          <w:lang w:val="en-US"/>
        </w:rPr>
        <w:br w:type="page"/>
      </w:r>
    </w:p>
    <w:p>
      <w:pPr>
        <w:tabs>
          <w:tab w:val="left" w:pos="4430"/>
        </w:tabs>
        <w:spacing w:before="85" w:after="240" w:afterLines="100" w:line="360" w:lineRule="auto"/>
        <w:jc w:val="center"/>
        <w:rPr>
          <w:b/>
          <w:sz w:val="21"/>
          <w:szCs w:val="21"/>
        </w:rPr>
      </w:pPr>
      <w:bookmarkStart w:id="320" w:name="_Toc22713_WPSOffice_Level3"/>
      <w:r>
        <w:rPr>
          <w:b/>
          <w:sz w:val="21"/>
          <w:szCs w:val="21"/>
          <w:lang w:val="en-US" w:bidi="ar"/>
        </w:rPr>
        <w:t xml:space="preserve">2.3 </w:t>
      </w:r>
      <w:r>
        <w:rPr>
          <w:rFonts w:hint="eastAsia"/>
          <w:b/>
          <w:sz w:val="21"/>
          <w:szCs w:val="21"/>
          <w:lang w:val="en-US" w:bidi="ar"/>
        </w:rPr>
        <w:t>关于资格的声明函</w:t>
      </w:r>
      <w:bookmarkEnd w:id="320"/>
    </w:p>
    <w:p>
      <w:pPr>
        <w:spacing w:line="360" w:lineRule="auto"/>
        <w:rPr>
          <w:sz w:val="21"/>
          <w:szCs w:val="21"/>
          <w:u w:val="single"/>
        </w:rPr>
      </w:pPr>
      <w:r>
        <w:rPr>
          <w:rFonts w:hint="eastAsia"/>
          <w:sz w:val="21"/>
          <w:szCs w:val="21"/>
          <w:u w:val="single"/>
          <w:lang w:val="en-US" w:bidi="ar"/>
        </w:rPr>
        <w:t>致：（采购人</w:t>
      </w:r>
      <w:r>
        <w:rPr>
          <w:sz w:val="21"/>
          <w:szCs w:val="21"/>
          <w:u w:val="single"/>
          <w:lang w:val="en-US" w:bidi="ar"/>
        </w:rPr>
        <w:t>/采购代理机构）</w:t>
      </w:r>
    </w:p>
    <w:p>
      <w:pPr>
        <w:numPr>
          <w:ilvl w:val="0"/>
          <w:numId w:val="3"/>
        </w:numPr>
        <w:spacing w:before="60" w:beforeLines="25" w:after="60" w:afterLines="25" w:line="360" w:lineRule="auto"/>
        <w:ind w:firstLine="420"/>
        <w:rPr>
          <w:sz w:val="21"/>
          <w:szCs w:val="21"/>
          <w:lang w:val="en-US" w:bidi="ar"/>
        </w:rPr>
      </w:pPr>
      <w:r>
        <w:rPr>
          <w:rFonts w:hint="eastAsia"/>
          <w:sz w:val="21"/>
          <w:szCs w:val="21"/>
          <w:lang w:val="en-US" w:bidi="ar"/>
        </w:rPr>
        <w:t>关于贵方采购项目名称</w:t>
      </w:r>
      <w:r>
        <w:rPr>
          <w:sz w:val="21"/>
          <w:szCs w:val="21"/>
          <w:lang w:val="en-US" w:bidi="ar"/>
        </w:rPr>
        <w:t xml:space="preserve">: </w:t>
      </w:r>
      <w:r>
        <w:rPr>
          <w:sz w:val="21"/>
          <w:szCs w:val="21"/>
          <w:u w:val="single"/>
          <w:lang w:val="en-US" w:bidi="ar"/>
        </w:rPr>
        <w:t xml:space="preserve">                </w:t>
      </w:r>
      <w:r>
        <w:rPr>
          <w:rFonts w:hint="eastAsia"/>
          <w:sz w:val="21"/>
          <w:szCs w:val="21"/>
          <w:lang w:val="en-US" w:bidi="ar"/>
        </w:rPr>
        <w:t>采购项目编号：</w:t>
      </w:r>
      <w:r>
        <w:rPr>
          <w:sz w:val="21"/>
          <w:szCs w:val="21"/>
          <w:u w:val="single"/>
          <w:lang w:val="en-US" w:bidi="ar"/>
        </w:rPr>
        <w:t xml:space="preserve">                   </w:t>
      </w:r>
      <w:r>
        <w:rPr>
          <w:rFonts w:hint="eastAsia"/>
          <w:sz w:val="21"/>
          <w:szCs w:val="21"/>
          <w:lang w:val="en-US" w:bidi="ar"/>
        </w:rPr>
        <w:t>磋商邀请，本签字人愿意参加磋商响应，提供磋商文件中规定的货物及服务，并提交下列文件证明我方具备《中华人民共和国政府采购法》第二十二条规定的条件，并承诺提交的证明文件是真实有效的。</w:t>
      </w:r>
    </w:p>
    <w:p>
      <w:pPr>
        <w:spacing w:before="60" w:beforeLines="25" w:after="60" w:afterLines="25" w:line="360" w:lineRule="auto"/>
        <w:ind w:firstLine="420" w:firstLineChars="200"/>
        <w:rPr>
          <w:sz w:val="21"/>
          <w:szCs w:val="21"/>
          <w:lang w:val="en-US" w:bidi="ar"/>
        </w:rPr>
      </w:pPr>
      <w:r>
        <w:rPr>
          <w:sz w:val="21"/>
          <w:szCs w:val="21"/>
          <w:lang w:val="en-US" w:bidi="ar"/>
        </w:rPr>
        <w:t>2、本公司（企业）如为本采购项目提供整体设计、规范编制或者项目管理、监理、检测等服务的供应商，不得再参加该采购项目的其他采购活动。否则，由此所造成的损失、不良后果及法律责任，一律由我公司（企业）承担。</w:t>
      </w:r>
    </w:p>
    <w:p>
      <w:pPr>
        <w:spacing w:before="60" w:beforeLines="25" w:after="60" w:afterLines="25" w:line="360" w:lineRule="auto"/>
        <w:ind w:firstLine="420" w:firstLineChars="200"/>
        <w:rPr>
          <w:sz w:val="21"/>
          <w:szCs w:val="21"/>
          <w:lang w:val="en-US" w:bidi="ar"/>
        </w:rPr>
      </w:pPr>
      <w:r>
        <w:rPr>
          <w:sz w:val="21"/>
          <w:szCs w:val="21"/>
          <w:lang w:val="en-US" w:bidi="ar"/>
        </w:rPr>
        <w:t>3、本公司（企业）的法定代表人或单位负责人与所参与的本采购项目的其他供应商的法定代表人或单位负责人不为同一人且与其他供应商之间不存在直接控股、管理关系。</w:t>
      </w:r>
    </w:p>
    <w:p>
      <w:pPr>
        <w:spacing w:before="60" w:beforeLines="25" w:after="60" w:afterLines="25" w:line="360" w:lineRule="auto"/>
        <w:ind w:firstLine="420" w:firstLineChars="200"/>
        <w:rPr>
          <w:sz w:val="21"/>
          <w:szCs w:val="21"/>
          <w:lang w:val="en-US" w:bidi="ar"/>
        </w:rPr>
      </w:pPr>
    </w:p>
    <w:p>
      <w:pPr>
        <w:spacing w:before="60" w:beforeLines="25" w:after="60" w:afterLines="25" w:line="360" w:lineRule="auto"/>
        <w:rPr>
          <w:sz w:val="21"/>
          <w:szCs w:val="21"/>
          <w:lang w:val="en-US" w:bidi="ar"/>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spacing w:before="2"/>
        <w:jc w:val="left"/>
        <w:rPr>
          <w:rFonts w:ascii="宋体" w:hAnsi="宋体" w:cs="宋体"/>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sectPr>
          <w:pgSz w:w="11910" w:h="16840"/>
          <w:pgMar w:top="1440" w:right="1080" w:bottom="1440" w:left="1080" w:header="945" w:footer="893" w:gutter="0"/>
          <w:cols w:space="720" w:num="1"/>
        </w:sectPr>
      </w:pPr>
    </w:p>
    <w:p>
      <w:pPr>
        <w:spacing w:before="162"/>
        <w:jc w:val="center"/>
        <w:rPr>
          <w:b/>
          <w:sz w:val="21"/>
          <w:szCs w:val="21"/>
        </w:rPr>
      </w:pPr>
      <w:r>
        <w:rPr>
          <w:b/>
          <w:sz w:val="21"/>
          <w:szCs w:val="21"/>
          <w:lang w:val="en-US" w:bidi="ar"/>
        </w:rPr>
        <w:t xml:space="preserve">2.3.1 </w:t>
      </w:r>
      <w:r>
        <w:rPr>
          <w:rFonts w:hint="eastAsia"/>
          <w:b/>
          <w:sz w:val="21"/>
          <w:szCs w:val="21"/>
          <w:lang w:val="en-US" w:bidi="ar"/>
        </w:rPr>
        <w:t>法人或者其他组织的营业执照等证明文件</w:t>
      </w: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sectPr>
          <w:pgSz w:w="11910" w:h="16840"/>
          <w:pgMar w:top="1440" w:right="1080" w:bottom="1440" w:left="1080" w:header="945" w:footer="893" w:gutter="0"/>
          <w:cols w:space="720" w:num="1"/>
        </w:sectPr>
      </w:pPr>
    </w:p>
    <w:p>
      <w:pPr>
        <w:tabs>
          <w:tab w:val="left" w:pos="1151"/>
        </w:tabs>
        <w:spacing w:before="60" w:beforeLines="25" w:after="240" w:afterLines="100" w:line="360" w:lineRule="auto"/>
        <w:jc w:val="center"/>
        <w:rPr>
          <w:b/>
          <w:sz w:val="21"/>
          <w:szCs w:val="21"/>
        </w:rPr>
      </w:pPr>
      <w:r>
        <w:rPr>
          <w:b/>
          <w:spacing w:val="-3"/>
          <w:sz w:val="21"/>
          <w:szCs w:val="21"/>
          <w:lang w:val="en-US" w:bidi="ar"/>
        </w:rPr>
        <w:t xml:space="preserve">2.3.2 </w:t>
      </w:r>
      <w:r>
        <w:rPr>
          <w:rFonts w:hint="eastAsia"/>
          <w:b/>
          <w:spacing w:val="-3"/>
          <w:sz w:val="21"/>
          <w:szCs w:val="21"/>
          <w:lang w:val="en-US" w:bidi="ar"/>
        </w:rPr>
        <w:t>财务状况报告，依法缴纳税收和社会保障资金的相关材料</w:t>
      </w:r>
    </w:p>
    <w:p>
      <w:pPr>
        <w:spacing w:after="60" w:afterLines="25" w:line="312" w:lineRule="auto"/>
        <w:ind w:firstLine="420" w:firstLineChars="200"/>
        <w:rPr>
          <w:sz w:val="21"/>
          <w:szCs w:val="21"/>
        </w:rPr>
      </w:pPr>
      <w:r>
        <w:rPr>
          <w:sz w:val="21"/>
          <w:szCs w:val="21"/>
          <w:lang w:val="en-US" w:bidi="ar"/>
        </w:rPr>
        <w:t>(1)</w:t>
      </w:r>
      <w:r>
        <w:rPr>
          <w:rFonts w:hint="eastAsia"/>
          <w:sz w:val="21"/>
          <w:szCs w:val="21"/>
        </w:rPr>
        <w:t>具有良好的商业信誉和健全的财务会计制度</w:t>
      </w:r>
      <w:r>
        <w:rPr>
          <w:rFonts w:hint="eastAsia"/>
          <w:bCs/>
          <w:szCs w:val="20"/>
        </w:rPr>
        <w:t>，</w:t>
      </w:r>
      <w:r>
        <w:rPr>
          <w:rFonts w:hint="eastAsia"/>
          <w:sz w:val="21"/>
          <w:szCs w:val="21"/>
        </w:rPr>
        <w:t>须提供下列任一项证明材料：</w:t>
      </w:r>
    </w:p>
    <w:p>
      <w:pPr>
        <w:spacing w:after="60" w:afterLines="25" w:line="312" w:lineRule="auto"/>
        <w:ind w:firstLine="420" w:firstLineChars="200"/>
        <w:rPr>
          <w:sz w:val="21"/>
          <w:szCs w:val="21"/>
          <w:lang w:val="zh-TW"/>
        </w:rPr>
      </w:pPr>
      <w:r>
        <w:rPr>
          <w:rFonts w:hint="eastAsia"/>
          <w:sz w:val="21"/>
          <w:szCs w:val="21"/>
          <w:lang w:val="zh-TW"/>
        </w:rPr>
        <w:t>①提供《采购供应商资格信用承诺函》（格式详见响应文件格式</w:t>
      </w:r>
      <w:r>
        <w:rPr>
          <w:sz w:val="21"/>
          <w:szCs w:val="21"/>
          <w:lang w:val="zh-TW"/>
        </w:rPr>
        <w:t xml:space="preserve"> </w:t>
      </w:r>
      <w:r>
        <w:rPr>
          <w:rFonts w:hint="eastAsia"/>
          <w:sz w:val="21"/>
          <w:szCs w:val="21"/>
          <w:lang w:val="zh-TW"/>
        </w:rPr>
        <w:t>附件</w:t>
      </w:r>
      <w:r>
        <w:rPr>
          <w:sz w:val="21"/>
          <w:szCs w:val="21"/>
          <w:lang w:val="zh-TW"/>
        </w:rPr>
        <w:t>4）；</w:t>
      </w:r>
    </w:p>
    <w:p>
      <w:pPr>
        <w:spacing w:after="60" w:afterLines="25" w:line="312" w:lineRule="auto"/>
        <w:ind w:firstLine="420" w:firstLineChars="200"/>
        <w:rPr>
          <w:sz w:val="21"/>
          <w:szCs w:val="21"/>
        </w:rPr>
      </w:pPr>
      <w:r>
        <w:rPr>
          <w:rFonts w:hint="eastAsia"/>
          <w:sz w:val="21"/>
          <w:szCs w:val="21"/>
          <w:lang w:val="zh-TW"/>
        </w:rPr>
        <w:t>②</w:t>
      </w:r>
      <w:r>
        <w:rPr>
          <w:sz w:val="21"/>
          <w:szCs w:val="21"/>
        </w:rPr>
        <w:t>202</w:t>
      </w:r>
      <w:r>
        <w:rPr>
          <w:sz w:val="21"/>
          <w:szCs w:val="21"/>
          <w:lang w:val="en-US"/>
        </w:rPr>
        <w:t>1</w:t>
      </w:r>
      <w:r>
        <w:rPr>
          <w:rFonts w:hint="eastAsia"/>
          <w:sz w:val="21"/>
          <w:szCs w:val="21"/>
        </w:rPr>
        <w:t>年度或</w:t>
      </w:r>
      <w:r>
        <w:rPr>
          <w:sz w:val="21"/>
          <w:szCs w:val="21"/>
        </w:rPr>
        <w:t>202</w:t>
      </w:r>
      <w:r>
        <w:rPr>
          <w:sz w:val="21"/>
          <w:szCs w:val="21"/>
          <w:lang w:val="en-US"/>
        </w:rPr>
        <w:t>2</w:t>
      </w:r>
      <w:r>
        <w:rPr>
          <w:rFonts w:hint="eastAsia"/>
          <w:sz w:val="21"/>
          <w:szCs w:val="21"/>
        </w:rPr>
        <w:t>年度经审计的财务报告及财务报表（资产负债表、利润表和现金流量表）复印件（要求：审计报告由第三方会计师事务所或其他合法审计机构出具，须包含会计师事务所或审计机构的盖章页）；</w:t>
      </w:r>
    </w:p>
    <w:p>
      <w:pPr>
        <w:spacing w:after="60" w:afterLines="25" w:line="312" w:lineRule="auto"/>
        <w:ind w:firstLine="420" w:firstLineChars="200"/>
        <w:rPr>
          <w:sz w:val="21"/>
          <w:szCs w:val="21"/>
        </w:rPr>
      </w:pPr>
      <w:r>
        <w:rPr>
          <w:rFonts w:hint="eastAsia"/>
          <w:sz w:val="21"/>
          <w:szCs w:val="21"/>
        </w:rPr>
        <w:t>③基本开户银行出具</w:t>
      </w:r>
      <w:r>
        <w:rPr>
          <w:sz w:val="21"/>
          <w:szCs w:val="21"/>
        </w:rPr>
        <w:t>202</w:t>
      </w:r>
      <w:r>
        <w:rPr>
          <w:sz w:val="21"/>
          <w:szCs w:val="21"/>
          <w:lang w:val="en-US"/>
        </w:rPr>
        <w:t>3</w:t>
      </w:r>
      <w:r>
        <w:rPr>
          <w:rFonts w:hint="eastAsia"/>
          <w:sz w:val="21"/>
          <w:szCs w:val="21"/>
        </w:rPr>
        <w:t>年度任意</w:t>
      </w:r>
      <w:r>
        <w:rPr>
          <w:sz w:val="21"/>
          <w:szCs w:val="21"/>
        </w:rPr>
        <w:t>1个月的资信证明，如资信证明不能体现基本开户账户的，应另附开户许可证。无开户许可证的，可提供由银行开具的《基本存款账户信息》（公户账户主档）或其他相关证明资料，以上文件均需加盖银行印章。</w:t>
      </w:r>
    </w:p>
    <w:p>
      <w:pPr>
        <w:spacing w:after="60" w:afterLines="25" w:line="312" w:lineRule="auto"/>
        <w:ind w:firstLine="420" w:firstLineChars="200"/>
        <w:rPr>
          <w:sz w:val="21"/>
          <w:szCs w:val="21"/>
        </w:rPr>
      </w:pPr>
      <w:r>
        <w:rPr>
          <w:rFonts w:hint="eastAsia"/>
          <w:sz w:val="21"/>
          <w:szCs w:val="21"/>
        </w:rPr>
        <w:t>（</w:t>
      </w:r>
      <w:r>
        <w:rPr>
          <w:sz w:val="21"/>
          <w:szCs w:val="21"/>
          <w:lang w:val="en-US"/>
        </w:rPr>
        <w:t>2</w:t>
      </w:r>
      <w:r>
        <w:rPr>
          <w:rFonts w:hint="eastAsia"/>
          <w:sz w:val="21"/>
          <w:szCs w:val="21"/>
        </w:rPr>
        <w:t>）有依法缴纳税收和社会保障资金的良好记录，</w:t>
      </w:r>
      <w:r>
        <w:rPr>
          <w:rFonts w:hint="eastAsia"/>
          <w:sz w:val="21"/>
          <w:szCs w:val="21"/>
          <w:lang w:val="zh-TW"/>
        </w:rPr>
        <w:t>须提供下列任一项证明材料</w:t>
      </w:r>
      <w:r>
        <w:rPr>
          <w:rFonts w:hint="eastAsia"/>
          <w:sz w:val="21"/>
          <w:szCs w:val="21"/>
        </w:rPr>
        <w:t>：</w:t>
      </w:r>
    </w:p>
    <w:p>
      <w:pPr>
        <w:spacing w:after="60" w:afterLines="25" w:line="312" w:lineRule="auto"/>
        <w:ind w:firstLine="420" w:firstLineChars="200"/>
        <w:rPr>
          <w:sz w:val="21"/>
          <w:szCs w:val="21"/>
          <w:lang w:val="zh-TW"/>
        </w:rPr>
      </w:pPr>
      <w:r>
        <w:rPr>
          <w:rFonts w:hint="eastAsia"/>
          <w:sz w:val="21"/>
          <w:szCs w:val="21"/>
          <w:lang w:val="zh-TW"/>
        </w:rPr>
        <w:t>①提供《采购供应商资格信用承诺函》（格式详见响应文件格式</w:t>
      </w:r>
      <w:r>
        <w:rPr>
          <w:sz w:val="21"/>
          <w:szCs w:val="21"/>
          <w:lang w:val="zh-TW"/>
        </w:rPr>
        <w:t xml:space="preserve"> </w:t>
      </w:r>
      <w:r>
        <w:rPr>
          <w:rFonts w:hint="eastAsia"/>
          <w:sz w:val="21"/>
          <w:szCs w:val="21"/>
          <w:lang w:val="zh-TW"/>
        </w:rPr>
        <w:t>附件</w:t>
      </w:r>
      <w:r>
        <w:rPr>
          <w:sz w:val="21"/>
          <w:szCs w:val="21"/>
          <w:lang w:val="zh-TW"/>
        </w:rPr>
        <w:t>4）。</w:t>
      </w:r>
    </w:p>
    <w:p>
      <w:pPr>
        <w:spacing w:after="60" w:afterLines="25" w:line="312" w:lineRule="auto"/>
        <w:ind w:firstLine="420" w:firstLineChars="200"/>
        <w:rPr>
          <w:sz w:val="21"/>
          <w:szCs w:val="21"/>
        </w:rPr>
      </w:pPr>
      <w:r>
        <w:rPr>
          <w:rFonts w:hint="eastAsia"/>
          <w:sz w:val="21"/>
          <w:szCs w:val="21"/>
          <w:lang w:val="zh-TW"/>
        </w:rPr>
        <w:t>②提供扣除磋商公告发布当月往前顺推三个月内任意一个月的依法缴纳税收和社会保障资金的相关材料。如依法免税或不需要缴纳社会保障资金的，提供相应证明材料。</w:t>
      </w:r>
    </w:p>
    <w:p>
      <w:pPr>
        <w:pStyle w:val="16"/>
        <w:autoSpaceDE w:val="0"/>
        <w:autoSpaceDN w:val="0"/>
        <w:spacing w:before="60" w:beforeLines="25" w:after="60" w:afterLines="25" w:line="360" w:lineRule="auto"/>
        <w:jc w:val="left"/>
        <w:rPr>
          <w:rFonts w:ascii="宋体" w:hAnsi="宋体" w:cs="宋体"/>
          <w:sz w:val="21"/>
          <w:szCs w:val="21"/>
        </w:rPr>
      </w:pPr>
    </w:p>
    <w:p>
      <w:pPr>
        <w:pStyle w:val="16"/>
        <w:autoSpaceDE w:val="0"/>
        <w:autoSpaceDN w:val="0"/>
        <w:spacing w:before="60" w:beforeLines="25" w:after="60" w:afterLines="25" w:line="360" w:lineRule="auto"/>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sectPr>
          <w:pgSz w:w="11910" w:h="16840"/>
          <w:pgMar w:top="1440" w:right="1080" w:bottom="1440" w:left="1080" w:header="945" w:footer="893" w:gutter="0"/>
          <w:cols w:space="720" w:num="1"/>
        </w:sectPr>
      </w:pPr>
    </w:p>
    <w:p>
      <w:pPr>
        <w:tabs>
          <w:tab w:val="left" w:pos="2796"/>
        </w:tabs>
        <w:spacing w:before="162" w:after="240" w:afterLines="100" w:line="360" w:lineRule="auto"/>
        <w:ind w:left="2211"/>
        <w:rPr>
          <w:b/>
          <w:sz w:val="21"/>
          <w:szCs w:val="21"/>
        </w:rPr>
      </w:pPr>
      <w:r>
        <w:rPr>
          <w:b/>
          <w:spacing w:val="-3"/>
          <w:sz w:val="21"/>
          <w:szCs w:val="21"/>
          <w:lang w:val="en-US" w:bidi="ar"/>
        </w:rPr>
        <w:t xml:space="preserve">2.3.3 </w:t>
      </w:r>
      <w:r>
        <w:rPr>
          <w:rFonts w:hint="eastAsia"/>
          <w:b/>
          <w:spacing w:val="-3"/>
          <w:sz w:val="21"/>
          <w:szCs w:val="21"/>
          <w:lang w:val="en-US" w:bidi="ar"/>
        </w:rPr>
        <w:t>具备履行合同所必须的设备和专业技术能力的证明材料</w:t>
      </w:r>
    </w:p>
    <w:p>
      <w:pPr>
        <w:pStyle w:val="16"/>
        <w:autoSpaceDE w:val="0"/>
        <w:autoSpaceDN w:val="0"/>
        <w:spacing w:before="3"/>
        <w:jc w:val="left"/>
        <w:rPr>
          <w:rFonts w:ascii="宋体" w:hAnsi="宋体" w:cs="宋体"/>
          <w:b/>
          <w:sz w:val="21"/>
          <w:szCs w:val="21"/>
        </w:rPr>
      </w:pPr>
    </w:p>
    <w:p>
      <w:pPr>
        <w:pStyle w:val="16"/>
        <w:autoSpaceDE w:val="0"/>
        <w:autoSpaceDN w:val="0"/>
        <w:ind w:left="445" w:right="115"/>
        <w:jc w:val="center"/>
        <w:rPr>
          <w:rFonts w:ascii="宋体" w:hAnsi="宋体" w:cs="宋体"/>
          <w:sz w:val="21"/>
          <w:szCs w:val="21"/>
        </w:rPr>
      </w:pPr>
      <w:r>
        <w:rPr>
          <w:rFonts w:hint="eastAsia" w:ascii="宋体" w:hAnsi="宋体" w:cs="宋体"/>
          <w:kern w:val="0"/>
          <w:sz w:val="21"/>
          <w:szCs w:val="21"/>
          <w:lang w:bidi="ar"/>
        </w:rPr>
        <w:t>（格式自拟，提供证明材料或书面声明）</w:t>
      </w: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sectPr>
          <w:pgSz w:w="11910" w:h="16840"/>
          <w:pgMar w:top="1440" w:right="1080" w:bottom="1440" w:left="1080" w:header="945" w:footer="893" w:gutter="0"/>
          <w:cols w:space="720" w:num="1"/>
        </w:sectPr>
      </w:pPr>
    </w:p>
    <w:p>
      <w:pPr>
        <w:tabs>
          <w:tab w:val="left" w:pos="2056"/>
        </w:tabs>
        <w:spacing w:before="162"/>
        <w:ind w:left="1473"/>
        <w:rPr>
          <w:b/>
          <w:sz w:val="21"/>
          <w:szCs w:val="21"/>
        </w:rPr>
      </w:pPr>
      <w:r>
        <w:rPr>
          <w:b/>
          <w:sz w:val="21"/>
          <w:szCs w:val="21"/>
          <w:lang w:val="en-US" w:bidi="ar"/>
        </w:rPr>
        <w:t xml:space="preserve">2.3.4 </w:t>
      </w:r>
      <w:r>
        <w:rPr>
          <w:rFonts w:hint="eastAsia"/>
          <w:b/>
          <w:sz w:val="21"/>
          <w:szCs w:val="21"/>
          <w:lang w:val="en-US" w:bidi="ar"/>
        </w:rPr>
        <w:t>参加采购活动前</w:t>
      </w:r>
      <w:r>
        <w:rPr>
          <w:b/>
          <w:sz w:val="21"/>
          <w:szCs w:val="21"/>
          <w:lang w:val="en-US" w:bidi="ar"/>
        </w:rPr>
        <w:t xml:space="preserve"> 3 </w:t>
      </w:r>
      <w:r>
        <w:rPr>
          <w:rFonts w:hint="eastAsia"/>
          <w:b/>
          <w:sz w:val="21"/>
          <w:szCs w:val="21"/>
          <w:lang w:val="en-US" w:bidi="ar"/>
        </w:rPr>
        <w:t>年内在经营活动中没有重大违法记录的书面声明</w:t>
      </w:r>
    </w:p>
    <w:p>
      <w:pPr>
        <w:spacing w:before="60" w:beforeLines="25" w:after="60" w:afterLines="25" w:line="360" w:lineRule="auto"/>
        <w:ind w:firstLine="420" w:firstLineChars="200"/>
        <w:rPr>
          <w:sz w:val="21"/>
          <w:szCs w:val="21"/>
          <w:lang w:val="en-US" w:bidi="ar"/>
        </w:rPr>
      </w:pPr>
    </w:p>
    <w:p>
      <w:pPr>
        <w:spacing w:before="60" w:beforeLines="25" w:after="60" w:afterLines="25" w:line="360" w:lineRule="auto"/>
        <w:ind w:firstLine="420" w:firstLineChars="200"/>
        <w:rPr>
          <w:sz w:val="21"/>
          <w:szCs w:val="21"/>
          <w:lang w:val="en-US" w:bidi="ar"/>
        </w:rPr>
      </w:pPr>
      <w:r>
        <w:rPr>
          <w:sz w:val="21"/>
          <w:szCs w:val="21"/>
          <w:u w:val="single"/>
          <w:lang w:val="en-US" w:bidi="ar"/>
        </w:rPr>
        <w:t>(响应供应商名称)</w:t>
      </w:r>
      <w:r>
        <w:rPr>
          <w:sz w:val="21"/>
          <w:szCs w:val="21"/>
          <w:u w:val="single"/>
          <w:lang w:val="en-US" w:bidi="ar"/>
        </w:rPr>
        <w:tab/>
      </w:r>
      <w:r>
        <w:rPr>
          <w:rFonts w:hint="eastAsia"/>
          <w:sz w:val="21"/>
          <w:szCs w:val="21"/>
          <w:lang w:val="en-US" w:bidi="ar"/>
        </w:rPr>
        <w:t>在参加采购活动前</w:t>
      </w:r>
      <w:r>
        <w:rPr>
          <w:sz w:val="21"/>
          <w:szCs w:val="21"/>
          <w:lang w:val="en-US" w:bidi="ar"/>
        </w:rPr>
        <w:t>3年内在经营活动中没有重大违法记录的书面声明。</w:t>
      </w:r>
    </w:p>
    <w:p>
      <w:pPr>
        <w:spacing w:before="60" w:beforeLines="25" w:after="60" w:afterLines="25" w:line="360" w:lineRule="auto"/>
        <w:ind w:firstLine="420" w:firstLineChars="200"/>
        <w:rPr>
          <w:sz w:val="21"/>
          <w:szCs w:val="21"/>
          <w:lang w:val="en-US" w:bidi="ar"/>
        </w:rPr>
      </w:pPr>
    </w:p>
    <w:p>
      <w:pPr>
        <w:spacing w:before="60" w:beforeLines="25" w:after="60" w:afterLines="25" w:line="360" w:lineRule="auto"/>
        <w:ind w:firstLine="420" w:firstLineChars="200"/>
        <w:rPr>
          <w:sz w:val="21"/>
          <w:szCs w:val="21"/>
          <w:lang w:val="en-US" w:bidi="ar"/>
        </w:rPr>
      </w:pPr>
    </w:p>
    <w:p>
      <w:pPr>
        <w:spacing w:before="60" w:beforeLines="25" w:after="60" w:afterLines="25" w:line="360" w:lineRule="auto"/>
        <w:ind w:firstLine="420" w:firstLineChars="200"/>
        <w:rPr>
          <w:sz w:val="21"/>
          <w:szCs w:val="21"/>
          <w:lang w:val="en-US" w:bidi="ar"/>
        </w:rPr>
      </w:pPr>
      <w:r>
        <w:rPr>
          <w:rFonts w:hint="eastAsia"/>
          <w:sz w:val="21"/>
          <w:szCs w:val="21"/>
          <w:lang w:val="en-US" w:bidi="ar"/>
        </w:rPr>
        <w:t>特此声明</w:t>
      </w:r>
      <w:r>
        <w:rPr>
          <w:sz w:val="21"/>
          <w:szCs w:val="21"/>
          <w:lang w:val="en-US" w:bidi="ar"/>
        </w:rPr>
        <w:t>!</w:t>
      </w: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sectPr>
          <w:pgSz w:w="11910" w:h="16840"/>
          <w:pgMar w:top="1440" w:right="1080" w:bottom="1440" w:left="1080" w:header="945" w:footer="893" w:gutter="0"/>
          <w:cols w:space="720" w:num="1"/>
        </w:sectPr>
      </w:pPr>
    </w:p>
    <w:p>
      <w:pPr>
        <w:tabs>
          <w:tab w:val="left" w:pos="3321"/>
        </w:tabs>
        <w:spacing w:before="162" w:after="240" w:afterLines="100"/>
        <w:jc w:val="center"/>
        <w:rPr>
          <w:b/>
          <w:sz w:val="21"/>
          <w:szCs w:val="21"/>
        </w:rPr>
      </w:pPr>
      <w:r>
        <w:rPr>
          <w:b/>
          <w:spacing w:val="-3"/>
          <w:sz w:val="21"/>
          <w:szCs w:val="21"/>
          <w:lang w:val="en-US" w:bidi="ar"/>
        </w:rPr>
        <w:t xml:space="preserve">2.3.5 </w:t>
      </w:r>
      <w:r>
        <w:rPr>
          <w:rFonts w:hint="eastAsia"/>
          <w:b/>
          <w:spacing w:val="-3"/>
          <w:sz w:val="21"/>
          <w:szCs w:val="21"/>
          <w:lang w:val="en-US" w:bidi="ar"/>
        </w:rPr>
        <w:t>具备法律、行政法规规定的其他条件的证明材料</w:t>
      </w:r>
    </w:p>
    <w:p>
      <w:pPr>
        <w:pStyle w:val="16"/>
        <w:autoSpaceDE w:val="0"/>
        <w:autoSpaceDN w:val="0"/>
        <w:ind w:right="537"/>
        <w:rPr>
          <w:rFonts w:ascii="宋体" w:hAnsi="宋体" w:cs="宋体"/>
          <w:kern w:val="0"/>
          <w:sz w:val="21"/>
          <w:szCs w:val="21"/>
          <w:lang w:bidi="ar"/>
        </w:rPr>
      </w:pPr>
    </w:p>
    <w:p>
      <w:pPr>
        <w:pStyle w:val="16"/>
        <w:autoSpaceDE w:val="0"/>
        <w:autoSpaceDN w:val="0"/>
        <w:ind w:right="537"/>
        <w:jc w:val="center"/>
        <w:rPr>
          <w:rFonts w:ascii="宋体" w:hAnsi="宋体" w:cs="宋体"/>
          <w:sz w:val="21"/>
          <w:szCs w:val="21"/>
        </w:rPr>
      </w:pPr>
      <w:r>
        <w:rPr>
          <w:rFonts w:hint="eastAsia" w:ascii="宋体" w:hAnsi="宋体" w:cs="宋体"/>
          <w:kern w:val="0"/>
          <w:sz w:val="21"/>
          <w:szCs w:val="21"/>
          <w:lang w:bidi="ar"/>
        </w:rPr>
        <w:t>（格式自拟，提供证明材料或书面声明）</w:t>
      </w: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sectPr>
          <w:pgSz w:w="11910" w:h="16840"/>
          <w:pgMar w:top="1440" w:right="1080" w:bottom="1440" w:left="1080" w:header="945" w:footer="893" w:gutter="0"/>
          <w:cols w:space="720" w:num="1"/>
        </w:sectPr>
      </w:pPr>
    </w:p>
    <w:p>
      <w:pPr>
        <w:tabs>
          <w:tab w:val="left" w:pos="4483"/>
        </w:tabs>
        <w:spacing w:before="85" w:after="240" w:afterLines="100"/>
        <w:jc w:val="center"/>
        <w:rPr>
          <w:b/>
          <w:sz w:val="21"/>
          <w:szCs w:val="21"/>
        </w:rPr>
      </w:pPr>
      <w:r>
        <w:rPr>
          <w:b/>
          <w:sz w:val="21"/>
          <w:szCs w:val="21"/>
          <w:lang w:val="en-US" w:bidi="ar"/>
        </w:rPr>
        <w:t xml:space="preserve">2.3.6 </w:t>
      </w:r>
      <w:r>
        <w:rPr>
          <w:rFonts w:hint="eastAsia"/>
          <w:b/>
          <w:sz w:val="21"/>
          <w:szCs w:val="21"/>
          <w:lang w:val="en-US" w:bidi="ar"/>
        </w:rPr>
        <w:t>其他资格证明文件</w:t>
      </w:r>
    </w:p>
    <w:p>
      <w:pPr>
        <w:pStyle w:val="16"/>
        <w:autoSpaceDE w:val="0"/>
        <w:autoSpaceDN w:val="0"/>
        <w:spacing w:before="1" w:after="240" w:afterLines="100"/>
        <w:jc w:val="left"/>
        <w:rPr>
          <w:rFonts w:ascii="宋体" w:hAnsi="宋体" w:cs="宋体"/>
          <w:b/>
          <w:sz w:val="21"/>
          <w:szCs w:val="21"/>
        </w:rPr>
      </w:pPr>
    </w:p>
    <w:p>
      <w:pPr>
        <w:pStyle w:val="16"/>
        <w:autoSpaceDE w:val="0"/>
        <w:autoSpaceDN w:val="0"/>
        <w:spacing w:after="240" w:afterLines="100"/>
        <w:ind w:right="537"/>
        <w:jc w:val="center"/>
        <w:rPr>
          <w:rFonts w:ascii="宋体" w:hAnsi="宋体" w:cs="宋体"/>
          <w:sz w:val="21"/>
          <w:szCs w:val="21"/>
        </w:rPr>
      </w:pPr>
      <w:r>
        <w:rPr>
          <w:rFonts w:hint="eastAsia" w:ascii="宋体" w:hAnsi="宋体" w:cs="宋体"/>
          <w:kern w:val="0"/>
          <w:sz w:val="21"/>
          <w:szCs w:val="21"/>
          <w:lang w:bidi="ar"/>
        </w:rPr>
        <w:t>（格式自拟，提供证明材料或书面声明）</w:t>
      </w: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sectPr>
          <w:pgSz w:w="11910" w:h="16840"/>
          <w:pgMar w:top="1440" w:right="1080" w:bottom="1440" w:left="1080" w:header="945" w:footer="893" w:gutter="0"/>
          <w:cols w:space="720" w:num="1"/>
        </w:sectPr>
      </w:pPr>
    </w:p>
    <w:p>
      <w:pPr>
        <w:tabs>
          <w:tab w:val="left" w:pos="4483"/>
        </w:tabs>
        <w:spacing w:before="12" w:beforeLines="5" w:after="240" w:afterLines="100" w:line="360" w:lineRule="auto"/>
        <w:jc w:val="center"/>
        <w:rPr>
          <w:b/>
          <w:sz w:val="21"/>
          <w:szCs w:val="21"/>
          <w:lang w:val="en-US"/>
        </w:rPr>
      </w:pPr>
      <w:r>
        <w:rPr>
          <w:b/>
          <w:sz w:val="21"/>
          <w:szCs w:val="21"/>
          <w:lang w:val="en-US" w:bidi="ar"/>
        </w:rPr>
        <w:t xml:space="preserve">2.4 </w:t>
      </w:r>
      <w:r>
        <w:rPr>
          <w:rFonts w:hint="eastAsia"/>
          <w:b/>
          <w:sz w:val="21"/>
          <w:szCs w:val="21"/>
          <w:lang w:val="en-US" w:bidi="ar"/>
        </w:rPr>
        <w:t>守法经营声明书</w:t>
      </w:r>
    </w:p>
    <w:p>
      <w:pPr>
        <w:spacing w:before="60" w:beforeLines="25" w:after="60" w:afterLines="25" w:line="360" w:lineRule="auto"/>
        <w:ind w:firstLine="420" w:firstLineChars="200"/>
        <w:rPr>
          <w:sz w:val="21"/>
          <w:szCs w:val="21"/>
        </w:rPr>
      </w:pPr>
      <w:r>
        <w:rPr>
          <w:rFonts w:hint="eastAsia"/>
          <w:sz w:val="21"/>
          <w:szCs w:val="21"/>
          <w:lang w:val="en-US" w:bidi="ar"/>
        </w:rPr>
        <w:t>我方诚意参与本项目磋商，并特此声明在参加本次采购活动前三年内，我方及我方法定代表人、董事、监事、高级管理人员在经营活动中没有以下违法记录：</w:t>
      </w:r>
    </w:p>
    <w:p>
      <w:pPr>
        <w:pStyle w:val="16"/>
        <w:tabs>
          <w:tab w:val="left" w:pos="888"/>
        </w:tabs>
        <w:autoSpaceDE w:val="0"/>
        <w:autoSpaceDN w:val="0"/>
        <w:spacing w:before="60" w:beforeLines="25" w:after="60" w:afterLines="25" w:line="360" w:lineRule="auto"/>
        <w:ind w:firstLine="816" w:firstLineChars="400"/>
        <w:jc w:val="left"/>
        <w:rPr>
          <w:rFonts w:ascii="宋体" w:hAnsi="宋体" w:cs="宋体"/>
          <w:sz w:val="21"/>
          <w:szCs w:val="21"/>
        </w:rPr>
      </w:pPr>
      <w:r>
        <w:rPr>
          <w:rFonts w:ascii="宋体" w:hAnsi="宋体" w:cs="宋体"/>
          <w:spacing w:val="-3"/>
          <w:kern w:val="0"/>
          <w:sz w:val="21"/>
          <w:szCs w:val="21"/>
          <w:lang w:bidi="ar"/>
        </w:rPr>
        <w:t>(1)县级以上行政机关做出的行政处罚决定。</w:t>
      </w:r>
    </w:p>
    <w:p>
      <w:pPr>
        <w:pStyle w:val="16"/>
        <w:tabs>
          <w:tab w:val="left" w:pos="888"/>
        </w:tabs>
        <w:autoSpaceDE w:val="0"/>
        <w:autoSpaceDN w:val="0"/>
        <w:spacing w:before="60" w:beforeLines="25" w:after="60" w:afterLines="25" w:line="360" w:lineRule="auto"/>
        <w:ind w:firstLine="816" w:firstLineChars="400"/>
        <w:jc w:val="left"/>
        <w:rPr>
          <w:rFonts w:ascii="宋体" w:hAnsi="宋体" w:cs="宋体"/>
          <w:sz w:val="21"/>
          <w:szCs w:val="21"/>
        </w:rPr>
      </w:pPr>
      <w:r>
        <w:rPr>
          <w:rFonts w:ascii="宋体" w:hAnsi="宋体" w:cs="宋体"/>
          <w:spacing w:val="-3"/>
          <w:kern w:val="0"/>
          <w:sz w:val="21"/>
          <w:szCs w:val="21"/>
          <w:lang w:bidi="ar"/>
        </w:rPr>
        <w:t>(2)各级司法机关做出的刑事判决。</w:t>
      </w:r>
    </w:p>
    <w:p>
      <w:pPr>
        <w:pStyle w:val="16"/>
        <w:tabs>
          <w:tab w:val="left" w:pos="888"/>
        </w:tabs>
        <w:autoSpaceDE w:val="0"/>
        <w:autoSpaceDN w:val="0"/>
        <w:spacing w:before="60" w:beforeLines="25" w:after="60" w:afterLines="25" w:line="360" w:lineRule="auto"/>
        <w:ind w:firstLine="816" w:firstLineChars="400"/>
        <w:jc w:val="left"/>
        <w:rPr>
          <w:rFonts w:ascii="宋体" w:hAnsi="宋体" w:cs="宋体"/>
          <w:sz w:val="21"/>
          <w:szCs w:val="21"/>
        </w:rPr>
      </w:pPr>
      <w:r>
        <w:rPr>
          <w:rFonts w:ascii="宋体" w:hAnsi="宋体" w:cs="宋体"/>
          <w:spacing w:val="-3"/>
          <w:kern w:val="0"/>
          <w:sz w:val="21"/>
          <w:szCs w:val="21"/>
          <w:lang w:bidi="ar"/>
        </w:rPr>
        <w:t>(3)我方的法定代表人、董事、监事、总经理、副总经理及其他高级管理人员名单如下：</w:t>
      </w:r>
    </w:p>
    <w:tbl>
      <w:tblPr>
        <w:tblStyle w:val="18"/>
        <w:tblW w:w="7694" w:type="dxa"/>
        <w:tblInd w:w="1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6"/>
        <w:gridCol w:w="3060"/>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2166"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spacing w:before="11"/>
              <w:jc w:val="left"/>
              <w:rPr>
                <w:rFonts w:ascii="宋体" w:hAnsi="宋体" w:cs="宋体"/>
                <w:sz w:val="21"/>
                <w:szCs w:val="21"/>
              </w:rPr>
            </w:pPr>
          </w:p>
          <w:p>
            <w:pPr>
              <w:pStyle w:val="16"/>
              <w:autoSpaceDE w:val="0"/>
              <w:autoSpaceDN w:val="0"/>
              <w:spacing w:before="1"/>
              <w:ind w:left="288" w:right="998"/>
              <w:jc w:val="center"/>
              <w:rPr>
                <w:rFonts w:ascii="宋体" w:hAnsi="宋体" w:cs="宋体"/>
                <w:sz w:val="21"/>
                <w:szCs w:val="21"/>
              </w:rPr>
            </w:pPr>
            <w:r>
              <w:rPr>
                <w:rFonts w:hint="eastAsia" w:ascii="宋体" w:hAnsi="宋体" w:cs="宋体"/>
                <w:kern w:val="0"/>
                <w:sz w:val="21"/>
                <w:szCs w:val="21"/>
                <w:lang w:bidi="ar"/>
              </w:rPr>
              <w:t>人员职位</w:t>
            </w:r>
          </w:p>
        </w:tc>
        <w:tc>
          <w:tcPr>
            <w:tcW w:w="3060"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spacing w:before="11"/>
              <w:jc w:val="left"/>
              <w:rPr>
                <w:rFonts w:ascii="宋体" w:hAnsi="宋体" w:cs="宋体"/>
                <w:sz w:val="21"/>
                <w:szCs w:val="21"/>
              </w:rPr>
            </w:pPr>
          </w:p>
          <w:p>
            <w:pPr>
              <w:pStyle w:val="16"/>
              <w:autoSpaceDE w:val="0"/>
              <w:autoSpaceDN w:val="0"/>
              <w:spacing w:before="1"/>
              <w:ind w:left="1301" w:right="1298"/>
              <w:jc w:val="center"/>
              <w:rPr>
                <w:rFonts w:ascii="宋体" w:hAnsi="宋体" w:cs="宋体"/>
                <w:sz w:val="21"/>
                <w:szCs w:val="21"/>
              </w:rPr>
            </w:pPr>
            <w:r>
              <w:rPr>
                <w:rFonts w:hint="eastAsia" w:ascii="宋体" w:hAnsi="宋体" w:cs="宋体"/>
                <w:kern w:val="0"/>
                <w:sz w:val="21"/>
                <w:szCs w:val="21"/>
                <w:lang w:bidi="ar"/>
              </w:rPr>
              <w:t>姓名</w:t>
            </w:r>
          </w:p>
        </w:tc>
        <w:tc>
          <w:tcPr>
            <w:tcW w:w="2468"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spacing w:before="11"/>
              <w:jc w:val="left"/>
              <w:rPr>
                <w:rFonts w:ascii="宋体" w:hAnsi="宋体" w:cs="宋体"/>
                <w:sz w:val="21"/>
                <w:szCs w:val="21"/>
              </w:rPr>
            </w:pPr>
          </w:p>
          <w:p>
            <w:pPr>
              <w:pStyle w:val="16"/>
              <w:autoSpaceDE w:val="0"/>
              <w:autoSpaceDN w:val="0"/>
              <w:spacing w:before="1"/>
              <w:ind w:left="795"/>
              <w:jc w:val="left"/>
              <w:rPr>
                <w:rFonts w:ascii="宋体" w:hAnsi="宋体" w:cs="宋体"/>
                <w:sz w:val="21"/>
                <w:szCs w:val="21"/>
              </w:rPr>
            </w:pPr>
            <w:r>
              <w:rPr>
                <w:rFonts w:hint="eastAsia" w:ascii="宋体" w:hAnsi="宋体" w:cs="宋体"/>
                <w:kern w:val="0"/>
                <w:sz w:val="21"/>
                <w:szCs w:val="21"/>
                <w:lang w:bidi="ar"/>
              </w:rPr>
              <w:t>联系固话及手机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2166"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spacing w:before="147"/>
              <w:ind w:left="183" w:right="888"/>
              <w:jc w:val="center"/>
              <w:rPr>
                <w:rFonts w:ascii="宋体" w:hAnsi="宋体" w:cs="宋体"/>
                <w:sz w:val="21"/>
                <w:szCs w:val="21"/>
              </w:rPr>
            </w:pPr>
            <w:r>
              <w:rPr>
                <w:rFonts w:hint="eastAsia" w:ascii="宋体" w:hAnsi="宋体" w:cs="宋体"/>
                <w:kern w:val="0"/>
                <w:sz w:val="21"/>
                <w:szCs w:val="21"/>
                <w:lang w:bidi="ar"/>
              </w:rPr>
              <w:t>法定代表人</w:t>
            </w:r>
          </w:p>
        </w:tc>
        <w:tc>
          <w:tcPr>
            <w:tcW w:w="3060"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c>
          <w:tcPr>
            <w:tcW w:w="2468"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2166"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spacing w:before="4"/>
              <w:jc w:val="left"/>
              <w:rPr>
                <w:rFonts w:ascii="宋体" w:hAnsi="宋体" w:cs="宋体"/>
                <w:sz w:val="21"/>
                <w:szCs w:val="21"/>
              </w:rPr>
            </w:pPr>
          </w:p>
          <w:p>
            <w:pPr>
              <w:pStyle w:val="16"/>
              <w:autoSpaceDE w:val="0"/>
              <w:autoSpaceDN w:val="0"/>
              <w:ind w:left="183" w:right="888"/>
              <w:jc w:val="center"/>
              <w:rPr>
                <w:rFonts w:ascii="宋体" w:hAnsi="宋体" w:cs="宋体"/>
                <w:sz w:val="21"/>
                <w:szCs w:val="21"/>
              </w:rPr>
            </w:pPr>
            <w:r>
              <w:rPr>
                <w:rFonts w:hint="eastAsia" w:ascii="宋体" w:hAnsi="宋体" w:cs="宋体"/>
                <w:kern w:val="0"/>
                <w:sz w:val="21"/>
                <w:szCs w:val="21"/>
                <w:lang w:bidi="ar"/>
              </w:rPr>
              <w:t>董事成员</w:t>
            </w:r>
          </w:p>
        </w:tc>
        <w:tc>
          <w:tcPr>
            <w:tcW w:w="3060"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c>
          <w:tcPr>
            <w:tcW w:w="2468"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trPr>
        <w:tc>
          <w:tcPr>
            <w:tcW w:w="2166"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spacing w:before="157"/>
              <w:ind w:left="288" w:right="998"/>
              <w:jc w:val="center"/>
              <w:rPr>
                <w:rFonts w:ascii="宋体" w:hAnsi="宋体" w:cs="宋体"/>
                <w:sz w:val="21"/>
                <w:szCs w:val="21"/>
              </w:rPr>
            </w:pPr>
            <w:r>
              <w:rPr>
                <w:rFonts w:hint="eastAsia" w:ascii="宋体" w:hAnsi="宋体" w:cs="宋体"/>
                <w:kern w:val="0"/>
                <w:sz w:val="21"/>
                <w:szCs w:val="21"/>
                <w:lang w:bidi="ar"/>
              </w:rPr>
              <w:t>监事成员</w:t>
            </w:r>
          </w:p>
        </w:tc>
        <w:tc>
          <w:tcPr>
            <w:tcW w:w="3060"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c>
          <w:tcPr>
            <w:tcW w:w="2468"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trPr>
        <w:tc>
          <w:tcPr>
            <w:tcW w:w="2166"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spacing w:before="9"/>
              <w:jc w:val="left"/>
              <w:rPr>
                <w:rFonts w:ascii="宋体" w:hAnsi="宋体" w:cs="宋体"/>
                <w:sz w:val="21"/>
                <w:szCs w:val="21"/>
              </w:rPr>
            </w:pPr>
          </w:p>
          <w:p>
            <w:pPr>
              <w:pStyle w:val="16"/>
              <w:autoSpaceDE w:val="0"/>
              <w:autoSpaceDN w:val="0"/>
              <w:ind w:left="286" w:right="998"/>
              <w:jc w:val="center"/>
              <w:rPr>
                <w:rFonts w:ascii="宋体" w:hAnsi="宋体" w:cs="宋体"/>
                <w:sz w:val="21"/>
                <w:szCs w:val="21"/>
              </w:rPr>
            </w:pPr>
            <w:r>
              <w:rPr>
                <w:rFonts w:hint="eastAsia" w:ascii="宋体" w:hAnsi="宋体" w:cs="宋体"/>
                <w:kern w:val="0"/>
                <w:sz w:val="21"/>
                <w:szCs w:val="21"/>
                <w:lang w:bidi="ar"/>
              </w:rPr>
              <w:t>总经理</w:t>
            </w:r>
          </w:p>
        </w:tc>
        <w:tc>
          <w:tcPr>
            <w:tcW w:w="3060"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c>
          <w:tcPr>
            <w:tcW w:w="2468"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2166"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spacing w:before="3"/>
              <w:jc w:val="left"/>
              <w:rPr>
                <w:rFonts w:ascii="宋体" w:hAnsi="宋体" w:cs="宋体"/>
                <w:sz w:val="21"/>
                <w:szCs w:val="21"/>
              </w:rPr>
            </w:pPr>
          </w:p>
          <w:p>
            <w:pPr>
              <w:pStyle w:val="16"/>
              <w:autoSpaceDE w:val="0"/>
              <w:autoSpaceDN w:val="0"/>
              <w:ind w:left="288" w:right="998"/>
              <w:jc w:val="center"/>
              <w:rPr>
                <w:rFonts w:ascii="宋体" w:hAnsi="宋体" w:cs="宋体"/>
                <w:sz w:val="21"/>
                <w:szCs w:val="21"/>
              </w:rPr>
            </w:pPr>
            <w:r>
              <w:rPr>
                <w:rFonts w:hint="eastAsia" w:ascii="宋体" w:hAnsi="宋体" w:cs="宋体"/>
                <w:kern w:val="0"/>
                <w:sz w:val="21"/>
                <w:szCs w:val="21"/>
                <w:lang w:bidi="ar"/>
              </w:rPr>
              <w:t>副总经理</w:t>
            </w:r>
          </w:p>
        </w:tc>
        <w:tc>
          <w:tcPr>
            <w:tcW w:w="3060"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c>
          <w:tcPr>
            <w:tcW w:w="2468"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2166"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spacing w:before="3"/>
              <w:jc w:val="left"/>
              <w:rPr>
                <w:rFonts w:ascii="宋体" w:hAnsi="宋体" w:cs="宋体"/>
                <w:sz w:val="21"/>
                <w:szCs w:val="21"/>
              </w:rPr>
            </w:pPr>
          </w:p>
          <w:p>
            <w:pPr>
              <w:pStyle w:val="16"/>
              <w:autoSpaceDE w:val="0"/>
              <w:autoSpaceDN w:val="0"/>
              <w:ind w:left="286" w:right="998"/>
              <w:jc w:val="center"/>
              <w:rPr>
                <w:rFonts w:ascii="宋体" w:hAnsi="宋体" w:cs="宋体"/>
                <w:sz w:val="21"/>
                <w:szCs w:val="21"/>
              </w:rPr>
            </w:pPr>
            <w:r>
              <w:rPr>
                <w:rFonts w:hint="eastAsia" w:ascii="宋体" w:hAnsi="宋体" w:cs="宋体"/>
                <w:kern w:val="0"/>
                <w:sz w:val="21"/>
                <w:szCs w:val="21"/>
                <w:lang w:bidi="ar"/>
              </w:rPr>
              <w:t>……</w:t>
            </w:r>
          </w:p>
        </w:tc>
        <w:tc>
          <w:tcPr>
            <w:tcW w:w="3060"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c>
          <w:tcPr>
            <w:tcW w:w="2468"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2166"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spacing w:before="3"/>
              <w:jc w:val="left"/>
              <w:rPr>
                <w:rFonts w:ascii="宋体" w:hAnsi="宋体" w:cs="宋体"/>
                <w:sz w:val="21"/>
                <w:szCs w:val="21"/>
              </w:rPr>
            </w:pPr>
          </w:p>
          <w:p>
            <w:pPr>
              <w:pStyle w:val="16"/>
              <w:autoSpaceDE w:val="0"/>
              <w:autoSpaceDN w:val="0"/>
              <w:ind w:left="286" w:right="998"/>
              <w:jc w:val="center"/>
              <w:rPr>
                <w:rFonts w:ascii="宋体" w:hAnsi="宋体" w:cs="宋体"/>
                <w:sz w:val="21"/>
                <w:szCs w:val="21"/>
              </w:rPr>
            </w:pPr>
            <w:r>
              <w:rPr>
                <w:rFonts w:hint="eastAsia" w:ascii="宋体" w:hAnsi="宋体" w:cs="宋体"/>
                <w:kern w:val="0"/>
                <w:sz w:val="21"/>
                <w:szCs w:val="21"/>
                <w:lang w:bidi="ar"/>
              </w:rPr>
              <w:t>……</w:t>
            </w:r>
          </w:p>
        </w:tc>
        <w:tc>
          <w:tcPr>
            <w:tcW w:w="3060"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c>
          <w:tcPr>
            <w:tcW w:w="2468" w:type="dxa"/>
            <w:tcBorders>
              <w:top w:val="single" w:color="auto" w:sz="4" w:space="0"/>
              <w:left w:val="single" w:color="auto" w:sz="4" w:space="0"/>
              <w:bottom w:val="single" w:color="auto" w:sz="4" w:space="0"/>
              <w:right w:val="single" w:color="auto" w:sz="4" w:space="0"/>
            </w:tcBorders>
            <w:shd w:val="clear" w:color="auto" w:fill="auto"/>
          </w:tcPr>
          <w:p>
            <w:pPr>
              <w:pStyle w:val="16"/>
              <w:autoSpaceDE w:val="0"/>
              <w:autoSpaceDN w:val="0"/>
              <w:jc w:val="left"/>
              <w:rPr>
                <w:rFonts w:ascii="宋体" w:hAnsi="宋体" w:cs="宋体"/>
                <w:sz w:val="21"/>
                <w:szCs w:val="21"/>
              </w:rPr>
            </w:pPr>
          </w:p>
        </w:tc>
      </w:tr>
    </w:tbl>
    <w:p>
      <w:pPr>
        <w:pStyle w:val="16"/>
        <w:tabs>
          <w:tab w:val="left" w:pos="888"/>
          <w:tab w:val="left" w:pos="8464"/>
        </w:tabs>
        <w:autoSpaceDE w:val="0"/>
        <w:autoSpaceDN w:val="0"/>
        <w:spacing w:before="104"/>
        <w:ind w:left="887"/>
        <w:jc w:val="left"/>
        <w:rPr>
          <w:rFonts w:ascii="宋体" w:hAnsi="宋体" w:cs="宋体"/>
          <w:sz w:val="21"/>
          <w:szCs w:val="21"/>
        </w:rPr>
      </w:pPr>
      <w:r>
        <w:rPr>
          <w:rFonts w:ascii="宋体" w:hAnsi="宋体" w:cs="宋体"/>
          <w:kern w:val="0"/>
          <w:sz w:val="21"/>
          <w:szCs w:val="21"/>
          <w:lang w:bidi="ar"/>
        </w:rPr>
        <w:t>(4)其</w:t>
      </w:r>
      <w:r>
        <w:rPr>
          <w:rFonts w:hint="eastAsia" w:ascii="宋体" w:hAnsi="宋体" w:cs="宋体"/>
          <w:spacing w:val="-3"/>
          <w:kern w:val="0"/>
          <w:sz w:val="21"/>
          <w:szCs w:val="21"/>
          <w:lang w:bidi="ar"/>
        </w:rPr>
        <w:t>它</w:t>
      </w:r>
      <w:r>
        <w:rPr>
          <w:rFonts w:hint="eastAsia" w:ascii="宋体" w:hAnsi="宋体" w:cs="宋体"/>
          <w:kern w:val="0"/>
          <w:sz w:val="21"/>
          <w:szCs w:val="21"/>
          <w:lang w:bidi="ar"/>
        </w:rPr>
        <w:t>事</w:t>
      </w:r>
      <w:r>
        <w:rPr>
          <w:rFonts w:hint="eastAsia" w:ascii="宋体" w:hAnsi="宋体" w:cs="宋体"/>
          <w:spacing w:val="-3"/>
          <w:kern w:val="0"/>
          <w:sz w:val="21"/>
          <w:szCs w:val="21"/>
          <w:lang w:bidi="ar"/>
        </w:rPr>
        <w:t>项</w:t>
      </w:r>
      <w:r>
        <w:rPr>
          <w:rFonts w:hint="eastAsia" w:ascii="宋体" w:hAnsi="宋体" w:cs="宋体"/>
          <w:kern w:val="0"/>
          <w:sz w:val="21"/>
          <w:szCs w:val="21"/>
          <w:lang w:bidi="ar"/>
        </w:rPr>
        <w:t>说</w:t>
      </w:r>
      <w:r>
        <w:rPr>
          <w:rFonts w:hint="eastAsia" w:ascii="宋体" w:hAnsi="宋体" w:cs="宋体"/>
          <w:spacing w:val="-3"/>
          <w:kern w:val="0"/>
          <w:sz w:val="21"/>
          <w:szCs w:val="21"/>
          <w:lang w:bidi="ar"/>
        </w:rPr>
        <w:t>明</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spacing w:before="3"/>
        <w:jc w:val="left"/>
        <w:rPr>
          <w:rFonts w:ascii="宋体" w:hAnsi="宋体" w:cs="宋体"/>
          <w:sz w:val="21"/>
          <w:szCs w:val="21"/>
        </w:rPr>
      </w:pPr>
    </w:p>
    <w:p>
      <w:pPr>
        <w:pStyle w:val="16"/>
        <w:autoSpaceDE w:val="0"/>
        <w:autoSpaceDN w:val="0"/>
        <w:spacing w:before="72"/>
        <w:ind w:left="778"/>
        <w:jc w:val="left"/>
        <w:rPr>
          <w:rFonts w:ascii="宋体" w:hAnsi="宋体" w:cs="宋体"/>
          <w:sz w:val="21"/>
          <w:szCs w:val="21"/>
        </w:rPr>
      </w:pPr>
      <w:r>
        <w:rPr>
          <w:rFonts w:hint="eastAsia" w:ascii="宋体" w:hAnsi="宋体" w:cs="宋体"/>
          <w:kern w:val="0"/>
          <w:sz w:val="21"/>
          <w:szCs w:val="21"/>
          <w:lang w:bidi="ar"/>
        </w:rPr>
        <w:t>说明：</w:t>
      </w:r>
    </w:p>
    <w:p>
      <w:pPr>
        <w:pStyle w:val="16"/>
        <w:autoSpaceDE w:val="0"/>
        <w:autoSpaceDN w:val="0"/>
        <w:spacing w:before="2"/>
        <w:jc w:val="left"/>
        <w:rPr>
          <w:rFonts w:ascii="宋体" w:hAnsi="宋体" w:cs="宋体"/>
          <w:sz w:val="21"/>
          <w:szCs w:val="21"/>
        </w:rPr>
      </w:pPr>
    </w:p>
    <w:p>
      <w:pPr>
        <w:pStyle w:val="6"/>
        <w:widowControl/>
        <w:ind w:left="778"/>
        <w:rPr>
          <w:u w:val="single"/>
        </w:rPr>
      </w:pPr>
      <w:r>
        <w:rPr>
          <w:u w:val="single"/>
        </w:rPr>
        <w:t>1、不具备法人资格的供应商，须与设立主管的法人机构同时加盖公章。</w:t>
      </w:r>
    </w:p>
    <w:p>
      <w:pPr>
        <w:pStyle w:val="16"/>
        <w:autoSpaceDE w:val="0"/>
        <w:autoSpaceDN w:val="0"/>
        <w:spacing w:before="3"/>
        <w:jc w:val="left"/>
        <w:rPr>
          <w:rFonts w:ascii="宋体" w:hAnsi="宋体" w:cs="宋体"/>
          <w:b/>
          <w:sz w:val="21"/>
          <w:szCs w:val="21"/>
          <w:u w:val="single"/>
        </w:rPr>
      </w:pPr>
    </w:p>
    <w:p>
      <w:pPr>
        <w:ind w:left="781"/>
        <w:rPr>
          <w:b/>
          <w:sz w:val="21"/>
          <w:szCs w:val="21"/>
          <w:u w:val="single"/>
        </w:rPr>
      </w:pPr>
      <w:r>
        <w:rPr>
          <w:b/>
          <w:sz w:val="21"/>
          <w:szCs w:val="21"/>
          <w:u w:val="single"/>
          <w:lang w:val="en-US" w:bidi="ar"/>
        </w:rPr>
        <w:t>2、本声明书内容不得擅自删改。</w:t>
      </w:r>
    </w:p>
    <w:p>
      <w:pPr>
        <w:pStyle w:val="16"/>
        <w:autoSpaceDE w:val="0"/>
        <w:autoSpaceDN w:val="0"/>
        <w:jc w:val="left"/>
        <w:rPr>
          <w:rFonts w:ascii="宋体" w:hAnsi="宋体" w:cs="宋体"/>
          <w:b/>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sectPr>
          <w:pgSz w:w="11910" w:h="16840"/>
          <w:pgMar w:top="1440" w:right="1080" w:bottom="1440" w:left="1080" w:header="945" w:footer="893" w:gutter="0"/>
          <w:cols w:space="720" w:num="1"/>
        </w:sect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pStyle w:val="16"/>
        <w:autoSpaceDE w:val="0"/>
        <w:autoSpaceDN w:val="0"/>
        <w:spacing w:before="11"/>
        <w:jc w:val="left"/>
        <w:rPr>
          <w:rFonts w:ascii="宋体" w:hAnsi="宋体" w:cs="宋体"/>
          <w:sz w:val="21"/>
          <w:szCs w:val="21"/>
        </w:rPr>
      </w:pPr>
    </w:p>
    <w:p>
      <w:pPr>
        <w:pStyle w:val="4"/>
        <w:widowControl/>
        <w:spacing w:before="48" w:beforeLines="20" w:after="240" w:afterLines="100" w:line="360" w:lineRule="auto"/>
        <w:ind w:right="0"/>
        <w:rPr>
          <w:sz w:val="21"/>
          <w:szCs w:val="21"/>
        </w:rPr>
      </w:pPr>
      <w:bookmarkStart w:id="321" w:name="_Toc25480"/>
      <w:bookmarkStart w:id="322" w:name="_Toc26157_WPSOffice_Level2"/>
      <w:bookmarkStart w:id="323" w:name="_Toc18150"/>
      <w:bookmarkStart w:id="324" w:name="_Toc1306"/>
      <w:bookmarkStart w:id="325" w:name="_Toc4890"/>
      <w:bookmarkStart w:id="326" w:name="_Toc15108"/>
      <w:bookmarkStart w:id="327" w:name="_Toc31366"/>
      <w:bookmarkStart w:id="328" w:name="_Toc24757"/>
      <w:r>
        <w:rPr>
          <w:rFonts w:hint="eastAsia"/>
          <w:sz w:val="21"/>
          <w:szCs w:val="21"/>
        </w:rPr>
        <w:t>三、商务部分</w:t>
      </w:r>
      <w:bookmarkEnd w:id="321"/>
      <w:bookmarkEnd w:id="322"/>
      <w:bookmarkEnd w:id="323"/>
      <w:bookmarkEnd w:id="324"/>
      <w:bookmarkEnd w:id="325"/>
      <w:bookmarkEnd w:id="326"/>
      <w:bookmarkEnd w:id="327"/>
      <w:bookmarkEnd w:id="328"/>
    </w:p>
    <w:p>
      <w:pPr>
        <w:tabs>
          <w:tab w:val="left" w:pos="729"/>
        </w:tabs>
        <w:spacing w:before="60" w:beforeLines="25" w:after="60" w:afterLines="25" w:line="360" w:lineRule="auto"/>
        <w:outlineLvl w:val="1"/>
        <w:rPr>
          <w:b/>
          <w:sz w:val="21"/>
          <w:szCs w:val="21"/>
        </w:rPr>
      </w:pPr>
      <w:bookmarkStart w:id="329" w:name="_Toc27117"/>
      <w:bookmarkStart w:id="330" w:name="_Toc19703_WPSOffice_Level3"/>
      <w:bookmarkStart w:id="331" w:name="_Toc11021"/>
      <w:r>
        <w:rPr>
          <w:b/>
          <w:sz w:val="21"/>
          <w:szCs w:val="21"/>
          <w:lang w:val="en-US" w:bidi="ar"/>
        </w:rPr>
        <w:t>3.1响应供应商综合概况</w:t>
      </w:r>
      <w:bookmarkEnd w:id="329"/>
      <w:bookmarkEnd w:id="330"/>
      <w:bookmarkEnd w:id="331"/>
    </w:p>
    <w:p>
      <w:pPr>
        <w:tabs>
          <w:tab w:val="left" w:pos="648"/>
        </w:tabs>
        <w:spacing w:before="60" w:beforeLines="25" w:after="60" w:afterLines="25" w:line="360" w:lineRule="auto"/>
        <w:jc w:val="center"/>
        <w:rPr>
          <w:b/>
          <w:sz w:val="21"/>
          <w:szCs w:val="21"/>
        </w:rPr>
      </w:pPr>
      <w:r>
        <w:rPr>
          <w:b/>
          <w:spacing w:val="-2"/>
          <w:sz w:val="21"/>
          <w:szCs w:val="21"/>
          <w:lang w:val="en-US" w:bidi="ar"/>
        </w:rPr>
        <w:t>(1)响应供应商情况介绍表</w:t>
      </w:r>
    </w:p>
    <w:p>
      <w:pPr>
        <w:pStyle w:val="16"/>
        <w:autoSpaceDE w:val="0"/>
        <w:autoSpaceDN w:val="0"/>
        <w:spacing w:before="3"/>
        <w:jc w:val="left"/>
        <w:rPr>
          <w:rFonts w:ascii="宋体" w:hAnsi="宋体" w:cs="宋体"/>
          <w:b/>
          <w:sz w:val="21"/>
          <w:szCs w:val="21"/>
        </w:rPr>
      </w:pPr>
    </w:p>
    <w:tbl>
      <w:tblPr>
        <w:tblStyle w:val="18"/>
        <w:tblW w:w="9282" w:type="dxa"/>
        <w:tblInd w:w="26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087"/>
        <w:gridCol w:w="1079"/>
        <w:gridCol w:w="1439"/>
        <w:gridCol w:w="1439"/>
        <w:gridCol w:w="1080"/>
        <w:gridCol w:w="899"/>
        <w:gridCol w:w="125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3" w:hRule="atLeast"/>
        </w:trPr>
        <w:tc>
          <w:tcPr>
            <w:tcW w:w="2087"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4"/>
              <w:ind w:left="63" w:right="64"/>
              <w:jc w:val="center"/>
              <w:rPr>
                <w:rFonts w:ascii="宋体" w:hAnsi="宋体" w:cs="宋体"/>
                <w:sz w:val="21"/>
                <w:szCs w:val="21"/>
              </w:rPr>
            </w:pPr>
            <w:r>
              <w:rPr>
                <w:rFonts w:hint="eastAsia" w:ascii="宋体" w:hAnsi="宋体" w:cs="宋体"/>
                <w:kern w:val="0"/>
                <w:sz w:val="21"/>
                <w:szCs w:val="21"/>
                <w:lang w:bidi="ar"/>
              </w:rPr>
              <w:t>单位名称</w:t>
            </w:r>
          </w:p>
        </w:tc>
        <w:tc>
          <w:tcPr>
            <w:tcW w:w="7195" w:type="dxa"/>
            <w:gridSpan w:val="6"/>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0" w:hRule="atLeast"/>
        </w:trPr>
        <w:tc>
          <w:tcPr>
            <w:tcW w:w="2087"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63" w:right="64"/>
              <w:jc w:val="center"/>
              <w:rPr>
                <w:rFonts w:ascii="宋体" w:hAnsi="宋体" w:cs="宋体"/>
                <w:sz w:val="21"/>
                <w:szCs w:val="21"/>
              </w:rPr>
            </w:pPr>
            <w:r>
              <w:rPr>
                <w:rFonts w:hint="eastAsia" w:ascii="宋体" w:hAnsi="宋体" w:cs="宋体"/>
                <w:kern w:val="0"/>
                <w:sz w:val="21"/>
                <w:szCs w:val="21"/>
                <w:lang w:bidi="ar"/>
              </w:rPr>
              <w:t>地址</w:t>
            </w:r>
          </w:p>
        </w:tc>
        <w:tc>
          <w:tcPr>
            <w:tcW w:w="7195" w:type="dxa"/>
            <w:gridSpan w:val="6"/>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3" w:hRule="atLeast"/>
        </w:trPr>
        <w:tc>
          <w:tcPr>
            <w:tcW w:w="2087"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4"/>
              <w:ind w:left="65" w:right="64"/>
              <w:jc w:val="center"/>
              <w:rPr>
                <w:rFonts w:ascii="宋体" w:hAnsi="宋体" w:cs="宋体"/>
                <w:sz w:val="21"/>
                <w:szCs w:val="21"/>
              </w:rPr>
            </w:pPr>
            <w:r>
              <w:rPr>
                <w:rFonts w:hint="eastAsia" w:ascii="宋体" w:hAnsi="宋体" w:cs="宋体"/>
                <w:kern w:val="0"/>
                <w:sz w:val="21"/>
                <w:szCs w:val="21"/>
                <w:lang w:bidi="ar"/>
              </w:rPr>
              <w:t>主管部门</w:t>
            </w:r>
          </w:p>
        </w:tc>
        <w:tc>
          <w:tcPr>
            <w:tcW w:w="107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4"/>
              <w:ind w:left="284"/>
              <w:jc w:val="left"/>
              <w:rPr>
                <w:rFonts w:ascii="宋体" w:hAnsi="宋体" w:cs="宋体"/>
                <w:sz w:val="21"/>
                <w:szCs w:val="21"/>
              </w:rPr>
            </w:pPr>
            <w:r>
              <w:rPr>
                <w:rFonts w:hint="eastAsia" w:ascii="宋体" w:hAnsi="宋体" w:cs="宋体"/>
                <w:kern w:val="0"/>
                <w:sz w:val="21"/>
                <w:szCs w:val="21"/>
                <w:lang w:bidi="ar"/>
              </w:rPr>
              <w:t>法人代表</w:t>
            </w: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080"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4"/>
              <w:ind w:left="313"/>
              <w:jc w:val="left"/>
              <w:rPr>
                <w:rFonts w:ascii="宋体" w:hAnsi="宋体" w:cs="宋体"/>
                <w:sz w:val="21"/>
                <w:szCs w:val="21"/>
              </w:rPr>
            </w:pPr>
            <w:r>
              <w:rPr>
                <w:rFonts w:hint="eastAsia" w:ascii="宋体" w:hAnsi="宋体" w:cs="宋体"/>
                <w:kern w:val="0"/>
                <w:sz w:val="21"/>
                <w:szCs w:val="21"/>
                <w:lang w:bidi="ar"/>
              </w:rPr>
              <w:t>职务</w:t>
            </w:r>
          </w:p>
        </w:tc>
        <w:tc>
          <w:tcPr>
            <w:tcW w:w="2158" w:type="dxa"/>
            <w:gridSpan w:val="2"/>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1" w:hRule="atLeast"/>
        </w:trPr>
        <w:tc>
          <w:tcPr>
            <w:tcW w:w="2087"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65" w:right="64"/>
              <w:jc w:val="center"/>
              <w:rPr>
                <w:rFonts w:ascii="宋体" w:hAnsi="宋体" w:cs="宋体"/>
                <w:sz w:val="21"/>
                <w:szCs w:val="21"/>
              </w:rPr>
            </w:pPr>
            <w:r>
              <w:rPr>
                <w:rFonts w:hint="eastAsia" w:ascii="宋体" w:hAnsi="宋体" w:cs="宋体"/>
                <w:kern w:val="0"/>
                <w:sz w:val="21"/>
                <w:szCs w:val="21"/>
                <w:lang w:bidi="ar"/>
              </w:rPr>
              <w:t>经济类型</w:t>
            </w:r>
          </w:p>
        </w:tc>
        <w:tc>
          <w:tcPr>
            <w:tcW w:w="107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284"/>
              <w:jc w:val="left"/>
              <w:rPr>
                <w:rFonts w:ascii="宋体" w:hAnsi="宋体" w:cs="宋体"/>
                <w:sz w:val="21"/>
                <w:szCs w:val="21"/>
              </w:rPr>
            </w:pPr>
            <w:r>
              <w:rPr>
                <w:rFonts w:hint="eastAsia" w:ascii="宋体" w:hAnsi="宋体" w:cs="宋体"/>
                <w:kern w:val="0"/>
                <w:sz w:val="21"/>
                <w:szCs w:val="21"/>
                <w:lang w:bidi="ar"/>
              </w:rPr>
              <w:t>授权代表</w:t>
            </w: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080"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313"/>
              <w:jc w:val="left"/>
              <w:rPr>
                <w:rFonts w:ascii="宋体" w:hAnsi="宋体" w:cs="宋体"/>
                <w:sz w:val="21"/>
                <w:szCs w:val="21"/>
              </w:rPr>
            </w:pPr>
            <w:r>
              <w:rPr>
                <w:rFonts w:hint="eastAsia" w:ascii="宋体" w:hAnsi="宋体" w:cs="宋体"/>
                <w:kern w:val="0"/>
                <w:sz w:val="21"/>
                <w:szCs w:val="21"/>
                <w:lang w:bidi="ar"/>
              </w:rPr>
              <w:t>职务</w:t>
            </w:r>
          </w:p>
        </w:tc>
        <w:tc>
          <w:tcPr>
            <w:tcW w:w="2158" w:type="dxa"/>
            <w:gridSpan w:val="2"/>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3" w:hRule="atLeast"/>
        </w:trPr>
        <w:tc>
          <w:tcPr>
            <w:tcW w:w="2087"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5"/>
              <w:ind w:left="63" w:right="64"/>
              <w:jc w:val="center"/>
              <w:rPr>
                <w:rFonts w:ascii="宋体" w:hAnsi="宋体" w:cs="宋体"/>
                <w:sz w:val="21"/>
                <w:szCs w:val="21"/>
              </w:rPr>
            </w:pPr>
            <w:r>
              <w:rPr>
                <w:rFonts w:hint="eastAsia" w:ascii="宋体" w:hAnsi="宋体" w:cs="宋体"/>
                <w:kern w:val="0"/>
                <w:sz w:val="21"/>
                <w:szCs w:val="21"/>
                <w:lang w:bidi="ar"/>
              </w:rPr>
              <w:t>邮编</w:t>
            </w:r>
          </w:p>
        </w:tc>
        <w:tc>
          <w:tcPr>
            <w:tcW w:w="107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5"/>
              <w:ind w:left="475" w:right="475"/>
              <w:jc w:val="center"/>
              <w:rPr>
                <w:rFonts w:ascii="宋体" w:hAnsi="宋体" w:cs="宋体"/>
                <w:sz w:val="21"/>
                <w:szCs w:val="21"/>
              </w:rPr>
            </w:pPr>
            <w:r>
              <w:rPr>
                <w:rFonts w:hint="eastAsia" w:ascii="宋体" w:hAnsi="宋体" w:cs="宋体"/>
                <w:kern w:val="0"/>
                <w:sz w:val="21"/>
                <w:szCs w:val="21"/>
                <w:lang w:bidi="ar"/>
              </w:rPr>
              <w:t>电话</w:t>
            </w: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080"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5"/>
              <w:ind w:left="313"/>
              <w:jc w:val="left"/>
              <w:rPr>
                <w:rFonts w:ascii="宋体" w:hAnsi="宋体" w:cs="宋体"/>
                <w:sz w:val="21"/>
                <w:szCs w:val="21"/>
              </w:rPr>
            </w:pPr>
            <w:r>
              <w:rPr>
                <w:rFonts w:hint="eastAsia" w:ascii="宋体" w:hAnsi="宋体" w:cs="宋体"/>
                <w:kern w:val="0"/>
                <w:sz w:val="21"/>
                <w:szCs w:val="21"/>
                <w:lang w:bidi="ar"/>
              </w:rPr>
              <w:t>传真</w:t>
            </w:r>
          </w:p>
        </w:tc>
        <w:tc>
          <w:tcPr>
            <w:tcW w:w="2158" w:type="dxa"/>
            <w:gridSpan w:val="2"/>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0" w:hRule="atLeast"/>
        </w:trPr>
        <w:tc>
          <w:tcPr>
            <w:tcW w:w="2087"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65" w:right="64"/>
              <w:jc w:val="center"/>
              <w:rPr>
                <w:rFonts w:ascii="宋体" w:hAnsi="宋体" w:cs="宋体"/>
                <w:sz w:val="21"/>
                <w:szCs w:val="21"/>
              </w:rPr>
            </w:pPr>
            <w:r>
              <w:rPr>
                <w:rFonts w:hint="eastAsia" w:ascii="宋体" w:hAnsi="宋体" w:cs="宋体"/>
                <w:kern w:val="0"/>
                <w:sz w:val="21"/>
                <w:szCs w:val="21"/>
                <w:lang w:bidi="ar"/>
              </w:rPr>
              <w:t>单位简介及机构设置</w:t>
            </w:r>
          </w:p>
        </w:tc>
        <w:tc>
          <w:tcPr>
            <w:tcW w:w="7195" w:type="dxa"/>
            <w:gridSpan w:val="6"/>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5" w:hRule="atLeast"/>
        </w:trPr>
        <w:tc>
          <w:tcPr>
            <w:tcW w:w="2087"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12"/>
              <w:jc w:val="left"/>
              <w:rPr>
                <w:rFonts w:ascii="宋体" w:hAnsi="宋体" w:cs="宋体"/>
                <w:b/>
                <w:sz w:val="21"/>
                <w:szCs w:val="21"/>
              </w:rPr>
            </w:pPr>
          </w:p>
          <w:p>
            <w:pPr>
              <w:pStyle w:val="16"/>
              <w:autoSpaceDE w:val="0"/>
              <w:autoSpaceDN w:val="0"/>
              <w:ind w:left="64" w:right="64"/>
              <w:jc w:val="center"/>
              <w:rPr>
                <w:rFonts w:ascii="宋体" w:hAnsi="宋体" w:cs="宋体"/>
                <w:sz w:val="21"/>
                <w:szCs w:val="21"/>
              </w:rPr>
            </w:pPr>
            <w:r>
              <w:rPr>
                <w:rFonts w:hint="eastAsia" w:ascii="宋体" w:hAnsi="宋体" w:cs="宋体"/>
                <w:kern w:val="0"/>
                <w:sz w:val="21"/>
                <w:szCs w:val="21"/>
                <w:lang w:bidi="ar"/>
              </w:rPr>
              <w:t>单位优势及特长</w:t>
            </w:r>
          </w:p>
        </w:tc>
        <w:tc>
          <w:tcPr>
            <w:tcW w:w="7195" w:type="dxa"/>
            <w:gridSpan w:val="6"/>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0" w:hRule="atLeast"/>
        </w:trPr>
        <w:tc>
          <w:tcPr>
            <w:tcW w:w="2087" w:type="dxa"/>
            <w:vMerge w:val="restart"/>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b/>
                <w:sz w:val="21"/>
                <w:szCs w:val="21"/>
              </w:rPr>
            </w:pPr>
          </w:p>
          <w:p>
            <w:pPr>
              <w:pStyle w:val="16"/>
              <w:autoSpaceDE w:val="0"/>
              <w:autoSpaceDN w:val="0"/>
              <w:spacing w:before="9"/>
              <w:jc w:val="left"/>
              <w:rPr>
                <w:rFonts w:ascii="宋体" w:hAnsi="宋体" w:cs="宋体"/>
                <w:b/>
                <w:sz w:val="21"/>
                <w:szCs w:val="21"/>
              </w:rPr>
            </w:pPr>
          </w:p>
          <w:p>
            <w:pPr>
              <w:pStyle w:val="16"/>
              <w:autoSpaceDE w:val="0"/>
              <w:autoSpaceDN w:val="0"/>
              <w:ind w:left="609"/>
              <w:jc w:val="left"/>
              <w:rPr>
                <w:rFonts w:ascii="宋体" w:hAnsi="宋体" w:cs="宋体"/>
                <w:sz w:val="21"/>
                <w:szCs w:val="21"/>
              </w:rPr>
            </w:pPr>
            <w:r>
              <w:rPr>
                <w:rFonts w:hint="eastAsia" w:ascii="宋体" w:hAnsi="宋体" w:cs="宋体"/>
                <w:kern w:val="0"/>
                <w:sz w:val="21"/>
                <w:szCs w:val="21"/>
                <w:lang w:bidi="ar"/>
              </w:rPr>
              <w:t>单位概况</w:t>
            </w:r>
          </w:p>
        </w:tc>
        <w:tc>
          <w:tcPr>
            <w:tcW w:w="107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85" w:right="84"/>
              <w:jc w:val="center"/>
              <w:rPr>
                <w:rFonts w:ascii="宋体" w:hAnsi="宋体" w:cs="宋体"/>
                <w:sz w:val="21"/>
                <w:szCs w:val="21"/>
              </w:rPr>
            </w:pPr>
            <w:r>
              <w:rPr>
                <w:rFonts w:hint="eastAsia" w:ascii="宋体" w:hAnsi="宋体" w:cs="宋体"/>
                <w:kern w:val="0"/>
                <w:sz w:val="21"/>
                <w:szCs w:val="21"/>
                <w:lang w:bidi="ar"/>
              </w:rPr>
              <w:t>注册资本</w:t>
            </w: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right="-44"/>
              <w:jc w:val="right"/>
              <w:rPr>
                <w:rFonts w:ascii="宋体" w:hAnsi="宋体" w:cs="宋体"/>
                <w:sz w:val="21"/>
                <w:szCs w:val="21"/>
              </w:rPr>
            </w:pPr>
            <w:r>
              <w:rPr>
                <w:rFonts w:hint="eastAsia" w:ascii="宋体" w:hAnsi="宋体" w:cs="宋体"/>
                <w:kern w:val="0"/>
                <w:sz w:val="21"/>
                <w:szCs w:val="21"/>
                <w:lang w:bidi="ar"/>
              </w:rPr>
              <w:t>万元</w:t>
            </w: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284"/>
              <w:jc w:val="left"/>
              <w:rPr>
                <w:rFonts w:ascii="宋体" w:hAnsi="宋体" w:cs="宋体"/>
                <w:sz w:val="21"/>
                <w:szCs w:val="21"/>
              </w:rPr>
            </w:pPr>
            <w:r>
              <w:rPr>
                <w:rFonts w:hint="eastAsia" w:ascii="宋体" w:hAnsi="宋体" w:cs="宋体"/>
                <w:kern w:val="0"/>
                <w:sz w:val="21"/>
                <w:szCs w:val="21"/>
                <w:lang w:bidi="ar"/>
              </w:rPr>
              <w:t>占地面积</w:t>
            </w:r>
          </w:p>
        </w:tc>
        <w:tc>
          <w:tcPr>
            <w:tcW w:w="3238" w:type="dxa"/>
            <w:gridSpan w:val="3"/>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11"/>
              <w:ind w:right="1"/>
              <w:jc w:val="right"/>
              <w:rPr>
                <w:rFonts w:ascii="宋体" w:hAnsi="宋体" w:cs="宋体"/>
                <w:sz w:val="21"/>
                <w:szCs w:val="21"/>
              </w:rPr>
            </w:pPr>
            <w:r>
              <w:rPr>
                <w:rFonts w:hint="eastAsia" w:ascii="宋体" w:hAnsi="宋体" w:cs="宋体"/>
                <w:kern w:val="0"/>
                <w:position w:val="-10"/>
                <w:sz w:val="21"/>
                <w:szCs w:val="21"/>
                <w:lang w:bidi="ar"/>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3" w:hRule="atLeast"/>
        </w:trPr>
        <w:tc>
          <w:tcPr>
            <w:tcW w:w="2087" w:type="dxa"/>
            <w:vMerge w:val="continue"/>
            <w:tcBorders>
              <w:top w:val="single" w:color="000000" w:sz="12" w:space="0"/>
              <w:left w:val="single" w:color="000000" w:sz="12" w:space="0"/>
              <w:bottom w:val="single" w:color="000000" w:sz="12" w:space="0"/>
              <w:right w:val="single" w:color="000000" w:sz="12" w:space="0"/>
            </w:tcBorders>
            <w:shd w:val="clear" w:color="auto" w:fill="auto"/>
          </w:tcPr>
          <w:p>
            <w:pPr>
              <w:rPr>
                <w:kern w:val="2"/>
                <w:sz w:val="21"/>
                <w:szCs w:val="21"/>
              </w:rPr>
            </w:pPr>
          </w:p>
        </w:tc>
        <w:tc>
          <w:tcPr>
            <w:tcW w:w="107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4"/>
              <w:ind w:left="85" w:right="84"/>
              <w:jc w:val="center"/>
              <w:rPr>
                <w:rFonts w:ascii="宋体" w:hAnsi="宋体" w:cs="宋体"/>
                <w:sz w:val="21"/>
                <w:szCs w:val="21"/>
              </w:rPr>
            </w:pPr>
            <w:r>
              <w:rPr>
                <w:rFonts w:hint="eastAsia" w:ascii="宋体" w:hAnsi="宋体" w:cs="宋体"/>
                <w:kern w:val="0"/>
                <w:sz w:val="21"/>
                <w:szCs w:val="21"/>
                <w:lang w:bidi="ar"/>
              </w:rPr>
              <w:t>职工总数</w:t>
            </w: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4"/>
              <w:ind w:right="-29"/>
              <w:jc w:val="right"/>
              <w:rPr>
                <w:rFonts w:ascii="宋体" w:hAnsi="宋体" w:cs="宋体"/>
                <w:sz w:val="21"/>
                <w:szCs w:val="21"/>
              </w:rPr>
            </w:pPr>
            <w:r>
              <w:rPr>
                <w:rFonts w:hint="eastAsia" w:ascii="宋体" w:hAnsi="宋体" w:cs="宋体"/>
                <w:kern w:val="0"/>
                <w:sz w:val="21"/>
                <w:szCs w:val="21"/>
                <w:lang w:bidi="ar"/>
              </w:rPr>
              <w:t>人</w:t>
            </w: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4"/>
              <w:ind w:left="284"/>
              <w:jc w:val="left"/>
              <w:rPr>
                <w:rFonts w:ascii="宋体" w:hAnsi="宋体" w:cs="宋体"/>
                <w:sz w:val="21"/>
                <w:szCs w:val="21"/>
              </w:rPr>
            </w:pPr>
            <w:r>
              <w:rPr>
                <w:rFonts w:hint="eastAsia" w:ascii="宋体" w:hAnsi="宋体" w:cs="宋体"/>
                <w:kern w:val="0"/>
                <w:sz w:val="21"/>
                <w:szCs w:val="21"/>
                <w:lang w:bidi="ar"/>
              </w:rPr>
              <w:t>建筑面积</w:t>
            </w:r>
          </w:p>
        </w:tc>
        <w:tc>
          <w:tcPr>
            <w:tcW w:w="3238" w:type="dxa"/>
            <w:gridSpan w:val="3"/>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14"/>
              <w:ind w:right="1"/>
              <w:jc w:val="right"/>
              <w:rPr>
                <w:rFonts w:ascii="宋体" w:hAnsi="宋体" w:cs="宋体"/>
                <w:sz w:val="21"/>
                <w:szCs w:val="21"/>
              </w:rPr>
            </w:pPr>
            <w:r>
              <w:rPr>
                <w:rFonts w:hint="eastAsia" w:ascii="宋体" w:hAnsi="宋体" w:cs="宋体"/>
                <w:kern w:val="0"/>
                <w:position w:val="-10"/>
                <w:sz w:val="21"/>
                <w:szCs w:val="21"/>
                <w:lang w:bidi="ar"/>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0" w:hRule="atLeast"/>
        </w:trPr>
        <w:tc>
          <w:tcPr>
            <w:tcW w:w="2087" w:type="dxa"/>
            <w:vMerge w:val="continue"/>
            <w:tcBorders>
              <w:top w:val="single" w:color="000000" w:sz="12" w:space="0"/>
              <w:left w:val="single" w:color="000000" w:sz="12" w:space="0"/>
              <w:bottom w:val="single" w:color="000000" w:sz="12" w:space="0"/>
              <w:right w:val="single" w:color="000000" w:sz="12" w:space="0"/>
            </w:tcBorders>
            <w:shd w:val="clear" w:color="auto" w:fill="auto"/>
          </w:tcPr>
          <w:p>
            <w:pPr>
              <w:rPr>
                <w:kern w:val="2"/>
                <w:sz w:val="21"/>
                <w:szCs w:val="21"/>
              </w:rPr>
            </w:pPr>
          </w:p>
        </w:tc>
        <w:tc>
          <w:tcPr>
            <w:tcW w:w="1079" w:type="dxa"/>
            <w:vMerge w:val="restart"/>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5"/>
              <w:jc w:val="left"/>
              <w:rPr>
                <w:rFonts w:ascii="宋体" w:hAnsi="宋体" w:cs="宋体"/>
                <w:b/>
                <w:sz w:val="21"/>
                <w:szCs w:val="21"/>
              </w:rPr>
            </w:pPr>
          </w:p>
          <w:p>
            <w:pPr>
              <w:pStyle w:val="16"/>
              <w:autoSpaceDE w:val="0"/>
              <w:autoSpaceDN w:val="0"/>
              <w:spacing w:before="1"/>
              <w:ind w:left="104"/>
              <w:jc w:val="left"/>
              <w:rPr>
                <w:rFonts w:ascii="宋体" w:hAnsi="宋体" w:cs="宋体"/>
                <w:sz w:val="21"/>
                <w:szCs w:val="21"/>
              </w:rPr>
            </w:pPr>
            <w:r>
              <w:rPr>
                <w:rFonts w:hint="eastAsia" w:ascii="宋体" w:hAnsi="宋体" w:cs="宋体"/>
                <w:kern w:val="0"/>
                <w:sz w:val="21"/>
                <w:szCs w:val="21"/>
                <w:lang w:bidi="ar"/>
              </w:rPr>
              <w:t>资产情况</w:t>
            </w: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387"/>
              <w:jc w:val="left"/>
              <w:rPr>
                <w:rFonts w:ascii="宋体" w:hAnsi="宋体" w:cs="宋体"/>
                <w:sz w:val="21"/>
                <w:szCs w:val="21"/>
              </w:rPr>
            </w:pPr>
            <w:r>
              <w:rPr>
                <w:rFonts w:hint="eastAsia" w:ascii="宋体" w:hAnsi="宋体" w:cs="宋体"/>
                <w:kern w:val="0"/>
                <w:sz w:val="21"/>
                <w:szCs w:val="21"/>
                <w:lang w:bidi="ar"/>
              </w:rPr>
              <w:t>净资产</w:t>
            </w: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right="-44"/>
              <w:jc w:val="right"/>
              <w:rPr>
                <w:rFonts w:ascii="宋体" w:hAnsi="宋体" w:cs="宋体"/>
                <w:sz w:val="21"/>
                <w:szCs w:val="21"/>
              </w:rPr>
            </w:pPr>
            <w:r>
              <w:rPr>
                <w:rFonts w:hint="eastAsia" w:ascii="宋体" w:hAnsi="宋体" w:cs="宋体"/>
                <w:kern w:val="0"/>
                <w:sz w:val="21"/>
                <w:szCs w:val="21"/>
                <w:lang w:bidi="ar"/>
              </w:rPr>
              <w:t>万元</w:t>
            </w:r>
          </w:p>
        </w:tc>
        <w:tc>
          <w:tcPr>
            <w:tcW w:w="3238" w:type="dxa"/>
            <w:gridSpan w:val="3"/>
            <w:tcBorders>
              <w:top w:val="single" w:color="000000" w:sz="12" w:space="0"/>
              <w:left w:val="single" w:color="000000" w:sz="12" w:space="0"/>
              <w:bottom w:val="single" w:color="000000" w:sz="12" w:space="0"/>
              <w:right w:val="single" w:color="000000" w:sz="12" w:space="0"/>
            </w:tcBorders>
            <w:shd w:val="clear" w:color="auto" w:fill="auto"/>
          </w:tcPr>
          <w:p>
            <w:pPr>
              <w:pStyle w:val="16"/>
              <w:tabs>
                <w:tab w:val="left" w:pos="2601"/>
              </w:tabs>
              <w:autoSpaceDE w:val="0"/>
              <w:autoSpaceDN w:val="0"/>
              <w:spacing w:before="22"/>
              <w:ind w:left="186"/>
              <w:jc w:val="left"/>
              <w:rPr>
                <w:rFonts w:ascii="宋体" w:hAnsi="宋体" w:cs="宋体"/>
                <w:sz w:val="21"/>
                <w:szCs w:val="21"/>
              </w:rPr>
            </w:pPr>
            <w:r>
              <w:rPr>
                <w:rFonts w:hint="eastAsia" w:ascii="宋体" w:hAnsi="宋体" w:cs="宋体"/>
                <w:kern w:val="0"/>
                <w:sz w:val="21"/>
                <w:szCs w:val="21"/>
                <w:lang w:bidi="ar"/>
              </w:rPr>
              <w:t>固定</w:t>
            </w:r>
            <w:r>
              <w:rPr>
                <w:rFonts w:hint="eastAsia" w:ascii="宋体" w:hAnsi="宋体" w:cs="宋体"/>
                <w:spacing w:val="-3"/>
                <w:kern w:val="0"/>
                <w:sz w:val="21"/>
                <w:szCs w:val="21"/>
                <w:lang w:bidi="ar"/>
              </w:rPr>
              <w:t>资</w:t>
            </w:r>
            <w:r>
              <w:rPr>
                <w:rFonts w:hint="eastAsia" w:ascii="宋体" w:hAnsi="宋体" w:cs="宋体"/>
                <w:kern w:val="0"/>
                <w:sz w:val="21"/>
                <w:szCs w:val="21"/>
                <w:lang w:bidi="ar"/>
              </w:rPr>
              <w:t>产</w:t>
            </w:r>
            <w:r>
              <w:rPr>
                <w:rFonts w:hint="eastAsia" w:ascii="宋体" w:hAnsi="宋体" w:cs="宋体"/>
                <w:spacing w:val="-3"/>
                <w:kern w:val="0"/>
                <w:sz w:val="21"/>
                <w:szCs w:val="21"/>
                <w:lang w:bidi="ar"/>
              </w:rPr>
              <w:t>原</w:t>
            </w:r>
            <w:r>
              <w:rPr>
                <w:rFonts w:hint="eastAsia" w:ascii="宋体" w:hAnsi="宋体" w:cs="宋体"/>
                <w:kern w:val="0"/>
                <w:sz w:val="21"/>
                <w:szCs w:val="21"/>
                <w:lang w:bidi="ar"/>
              </w:rPr>
              <w:t>值</w:t>
            </w:r>
            <w:r>
              <w:rPr>
                <w:rFonts w:ascii="宋体" w:hAnsi="宋体" w:cs="宋体"/>
                <w:kern w:val="0"/>
                <w:sz w:val="21"/>
                <w:szCs w:val="21"/>
                <w:lang w:bidi="ar"/>
              </w:rPr>
              <w:tab/>
            </w:r>
            <w:r>
              <w:rPr>
                <w:rFonts w:hint="eastAsia" w:ascii="宋体" w:hAnsi="宋体" w:cs="宋体"/>
                <w:kern w:val="0"/>
                <w:sz w:val="21"/>
                <w:szCs w:val="21"/>
                <w:lang w:bidi="ar"/>
              </w:rPr>
              <w:t>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3" w:hRule="atLeast"/>
        </w:trPr>
        <w:tc>
          <w:tcPr>
            <w:tcW w:w="2087" w:type="dxa"/>
            <w:vMerge w:val="continue"/>
            <w:tcBorders>
              <w:top w:val="single" w:color="000000" w:sz="12" w:space="0"/>
              <w:left w:val="single" w:color="000000" w:sz="12" w:space="0"/>
              <w:bottom w:val="single" w:color="000000" w:sz="12" w:space="0"/>
              <w:right w:val="single" w:color="000000" w:sz="12" w:space="0"/>
            </w:tcBorders>
            <w:shd w:val="clear" w:color="auto" w:fill="auto"/>
          </w:tcPr>
          <w:p>
            <w:pPr>
              <w:rPr>
                <w:kern w:val="2"/>
                <w:sz w:val="21"/>
                <w:szCs w:val="21"/>
              </w:rPr>
            </w:pPr>
          </w:p>
        </w:tc>
        <w:tc>
          <w:tcPr>
            <w:tcW w:w="1079" w:type="dxa"/>
            <w:vMerge w:val="continue"/>
            <w:tcBorders>
              <w:top w:val="single" w:color="000000" w:sz="12" w:space="0"/>
              <w:left w:val="single" w:color="000000" w:sz="12" w:space="0"/>
              <w:bottom w:val="single" w:color="000000" w:sz="12" w:space="0"/>
              <w:right w:val="single" w:color="000000" w:sz="12" w:space="0"/>
            </w:tcBorders>
            <w:shd w:val="clear" w:color="auto" w:fill="auto"/>
          </w:tcPr>
          <w:p>
            <w:pPr>
              <w:rPr>
                <w:kern w:val="2"/>
                <w:sz w:val="21"/>
                <w:szCs w:val="21"/>
              </w:rPr>
            </w:pP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4"/>
              <w:ind w:left="475" w:right="475"/>
              <w:jc w:val="center"/>
              <w:rPr>
                <w:rFonts w:ascii="宋体" w:hAnsi="宋体" w:cs="宋体"/>
                <w:sz w:val="21"/>
                <w:szCs w:val="21"/>
              </w:rPr>
            </w:pPr>
            <w:r>
              <w:rPr>
                <w:rFonts w:hint="eastAsia" w:ascii="宋体" w:hAnsi="宋体" w:cs="宋体"/>
                <w:kern w:val="0"/>
                <w:sz w:val="21"/>
                <w:szCs w:val="21"/>
                <w:lang w:bidi="ar"/>
              </w:rPr>
              <w:t>负债</w:t>
            </w: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4"/>
              <w:ind w:right="-44"/>
              <w:jc w:val="right"/>
              <w:rPr>
                <w:rFonts w:ascii="宋体" w:hAnsi="宋体" w:cs="宋体"/>
                <w:sz w:val="21"/>
                <w:szCs w:val="21"/>
              </w:rPr>
            </w:pPr>
            <w:r>
              <w:rPr>
                <w:rFonts w:hint="eastAsia" w:ascii="宋体" w:hAnsi="宋体" w:cs="宋体"/>
                <w:kern w:val="0"/>
                <w:sz w:val="21"/>
                <w:szCs w:val="21"/>
                <w:lang w:bidi="ar"/>
              </w:rPr>
              <w:t>万元</w:t>
            </w:r>
          </w:p>
        </w:tc>
        <w:tc>
          <w:tcPr>
            <w:tcW w:w="3238" w:type="dxa"/>
            <w:gridSpan w:val="3"/>
            <w:tcBorders>
              <w:top w:val="single" w:color="000000" w:sz="12" w:space="0"/>
              <w:left w:val="single" w:color="000000" w:sz="12" w:space="0"/>
              <w:bottom w:val="single" w:color="000000" w:sz="12" w:space="0"/>
              <w:right w:val="single" w:color="000000" w:sz="12" w:space="0"/>
            </w:tcBorders>
            <w:shd w:val="clear" w:color="auto" w:fill="auto"/>
          </w:tcPr>
          <w:p>
            <w:pPr>
              <w:pStyle w:val="16"/>
              <w:tabs>
                <w:tab w:val="left" w:pos="2601"/>
              </w:tabs>
              <w:autoSpaceDE w:val="0"/>
              <w:autoSpaceDN w:val="0"/>
              <w:spacing w:before="24"/>
              <w:ind w:left="186"/>
              <w:jc w:val="left"/>
              <w:rPr>
                <w:rFonts w:ascii="宋体" w:hAnsi="宋体" w:cs="宋体"/>
                <w:sz w:val="21"/>
                <w:szCs w:val="21"/>
              </w:rPr>
            </w:pPr>
            <w:r>
              <w:rPr>
                <w:rFonts w:hint="eastAsia" w:ascii="宋体" w:hAnsi="宋体" w:cs="宋体"/>
                <w:kern w:val="0"/>
                <w:sz w:val="21"/>
                <w:szCs w:val="21"/>
                <w:lang w:bidi="ar"/>
              </w:rPr>
              <w:t>固定</w:t>
            </w:r>
            <w:r>
              <w:rPr>
                <w:rFonts w:hint="eastAsia" w:ascii="宋体" w:hAnsi="宋体" w:cs="宋体"/>
                <w:spacing w:val="-3"/>
                <w:kern w:val="0"/>
                <w:sz w:val="21"/>
                <w:szCs w:val="21"/>
                <w:lang w:bidi="ar"/>
              </w:rPr>
              <w:t>资</w:t>
            </w:r>
            <w:r>
              <w:rPr>
                <w:rFonts w:hint="eastAsia" w:ascii="宋体" w:hAnsi="宋体" w:cs="宋体"/>
                <w:kern w:val="0"/>
                <w:sz w:val="21"/>
                <w:szCs w:val="21"/>
                <w:lang w:bidi="ar"/>
              </w:rPr>
              <w:t>产</w:t>
            </w:r>
            <w:r>
              <w:rPr>
                <w:rFonts w:hint="eastAsia" w:ascii="宋体" w:hAnsi="宋体" w:cs="宋体"/>
                <w:spacing w:val="-3"/>
                <w:kern w:val="0"/>
                <w:sz w:val="21"/>
                <w:szCs w:val="21"/>
                <w:lang w:bidi="ar"/>
              </w:rPr>
              <w:t>净</w:t>
            </w:r>
            <w:r>
              <w:rPr>
                <w:rFonts w:hint="eastAsia" w:ascii="宋体" w:hAnsi="宋体" w:cs="宋体"/>
                <w:kern w:val="0"/>
                <w:sz w:val="21"/>
                <w:szCs w:val="21"/>
                <w:lang w:bidi="ar"/>
              </w:rPr>
              <w:t>值</w:t>
            </w:r>
            <w:r>
              <w:rPr>
                <w:rFonts w:ascii="宋体" w:hAnsi="宋体" w:cs="宋体"/>
                <w:kern w:val="0"/>
                <w:sz w:val="21"/>
                <w:szCs w:val="21"/>
                <w:lang w:bidi="ar"/>
              </w:rPr>
              <w:tab/>
            </w:r>
            <w:r>
              <w:rPr>
                <w:rFonts w:hint="eastAsia" w:ascii="宋体" w:hAnsi="宋体" w:cs="宋体"/>
                <w:kern w:val="0"/>
                <w:sz w:val="21"/>
                <w:szCs w:val="21"/>
                <w:lang w:bidi="ar"/>
              </w:rPr>
              <w:t>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2" w:hRule="atLeast"/>
        </w:trPr>
        <w:tc>
          <w:tcPr>
            <w:tcW w:w="2087" w:type="dxa"/>
            <w:vMerge w:val="restart"/>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b/>
                <w:sz w:val="21"/>
                <w:szCs w:val="21"/>
              </w:rPr>
            </w:pPr>
          </w:p>
          <w:p>
            <w:pPr>
              <w:pStyle w:val="16"/>
              <w:autoSpaceDE w:val="0"/>
              <w:autoSpaceDN w:val="0"/>
              <w:spacing w:before="8"/>
              <w:jc w:val="left"/>
              <w:rPr>
                <w:rFonts w:ascii="宋体" w:hAnsi="宋体" w:cs="宋体"/>
                <w:b/>
                <w:sz w:val="21"/>
                <w:szCs w:val="21"/>
              </w:rPr>
            </w:pPr>
          </w:p>
          <w:p>
            <w:pPr>
              <w:pStyle w:val="16"/>
              <w:autoSpaceDE w:val="0"/>
              <w:autoSpaceDN w:val="0"/>
              <w:ind w:left="609"/>
              <w:jc w:val="left"/>
              <w:rPr>
                <w:rFonts w:ascii="宋体" w:hAnsi="宋体" w:cs="宋体"/>
                <w:sz w:val="21"/>
                <w:szCs w:val="21"/>
              </w:rPr>
            </w:pPr>
            <w:r>
              <w:rPr>
                <w:rFonts w:hint="eastAsia" w:ascii="宋体" w:hAnsi="宋体" w:cs="宋体"/>
                <w:kern w:val="0"/>
                <w:sz w:val="21"/>
                <w:szCs w:val="21"/>
                <w:lang w:bidi="ar"/>
              </w:rPr>
              <w:t>财务状况</w:t>
            </w:r>
          </w:p>
        </w:tc>
        <w:tc>
          <w:tcPr>
            <w:tcW w:w="107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84" w:right="84"/>
              <w:jc w:val="center"/>
              <w:rPr>
                <w:rFonts w:ascii="宋体" w:hAnsi="宋体" w:cs="宋体"/>
                <w:sz w:val="21"/>
                <w:szCs w:val="21"/>
              </w:rPr>
            </w:pPr>
            <w:r>
              <w:rPr>
                <w:rFonts w:hint="eastAsia" w:ascii="宋体" w:hAnsi="宋体" w:cs="宋体"/>
                <w:kern w:val="0"/>
                <w:sz w:val="21"/>
                <w:szCs w:val="21"/>
                <w:lang w:bidi="ar"/>
              </w:rPr>
              <w:t>年度</w:t>
            </w: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284"/>
              <w:jc w:val="left"/>
              <w:rPr>
                <w:rFonts w:ascii="宋体" w:hAnsi="宋体" w:cs="宋体"/>
                <w:sz w:val="21"/>
                <w:szCs w:val="21"/>
              </w:rPr>
            </w:pPr>
            <w:r>
              <w:rPr>
                <w:rFonts w:hint="eastAsia" w:ascii="宋体" w:hAnsi="宋体" w:cs="宋体"/>
                <w:spacing w:val="-1"/>
                <w:kern w:val="0"/>
                <w:sz w:val="21"/>
                <w:szCs w:val="21"/>
                <w:lang w:bidi="ar"/>
              </w:rPr>
              <w:t>主营收入</w:t>
            </w:r>
          </w:p>
          <w:p>
            <w:pPr>
              <w:pStyle w:val="16"/>
              <w:autoSpaceDE w:val="0"/>
              <w:autoSpaceDN w:val="0"/>
              <w:spacing w:before="103"/>
              <w:ind w:left="284"/>
              <w:jc w:val="left"/>
              <w:rPr>
                <w:rFonts w:ascii="宋体" w:hAnsi="宋体" w:cs="宋体"/>
                <w:sz w:val="21"/>
                <w:szCs w:val="21"/>
              </w:rPr>
            </w:pPr>
            <w:r>
              <w:rPr>
                <w:rFonts w:hint="eastAsia" w:ascii="宋体" w:hAnsi="宋体" w:cs="宋体"/>
                <w:kern w:val="0"/>
                <w:sz w:val="21"/>
                <w:szCs w:val="21"/>
                <w:lang w:bidi="ar"/>
              </w:rPr>
              <w:t>（</w:t>
            </w:r>
            <w:r>
              <w:rPr>
                <w:rFonts w:hint="eastAsia" w:ascii="宋体" w:hAnsi="宋体" w:cs="宋体"/>
                <w:spacing w:val="-2"/>
                <w:kern w:val="0"/>
                <w:sz w:val="21"/>
                <w:szCs w:val="21"/>
                <w:lang w:bidi="ar"/>
              </w:rPr>
              <w:t>万元</w:t>
            </w:r>
            <w:r>
              <w:rPr>
                <w:rFonts w:hint="eastAsia" w:ascii="宋体" w:hAnsi="宋体" w:cs="宋体"/>
                <w:kern w:val="0"/>
                <w:sz w:val="21"/>
                <w:szCs w:val="21"/>
                <w:lang w:bidi="ar"/>
              </w:rPr>
              <w:t>）</w:t>
            </w: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284"/>
              <w:jc w:val="left"/>
              <w:rPr>
                <w:rFonts w:ascii="宋体" w:hAnsi="宋体" w:cs="宋体"/>
                <w:sz w:val="21"/>
                <w:szCs w:val="21"/>
              </w:rPr>
            </w:pPr>
            <w:r>
              <w:rPr>
                <w:rFonts w:hint="eastAsia" w:ascii="宋体" w:hAnsi="宋体" w:cs="宋体"/>
                <w:spacing w:val="-1"/>
                <w:kern w:val="0"/>
                <w:sz w:val="21"/>
                <w:szCs w:val="21"/>
                <w:lang w:bidi="ar"/>
              </w:rPr>
              <w:t>收入总额</w:t>
            </w:r>
          </w:p>
          <w:p>
            <w:pPr>
              <w:pStyle w:val="16"/>
              <w:autoSpaceDE w:val="0"/>
              <w:autoSpaceDN w:val="0"/>
              <w:spacing w:before="103"/>
              <w:ind w:left="284"/>
              <w:jc w:val="left"/>
              <w:rPr>
                <w:rFonts w:ascii="宋体" w:hAnsi="宋体" w:cs="宋体"/>
                <w:sz w:val="21"/>
                <w:szCs w:val="21"/>
              </w:rPr>
            </w:pPr>
            <w:r>
              <w:rPr>
                <w:rFonts w:hint="eastAsia" w:ascii="宋体" w:hAnsi="宋体" w:cs="宋体"/>
                <w:kern w:val="0"/>
                <w:sz w:val="21"/>
                <w:szCs w:val="21"/>
                <w:lang w:bidi="ar"/>
              </w:rPr>
              <w:t>（</w:t>
            </w:r>
            <w:r>
              <w:rPr>
                <w:rFonts w:hint="eastAsia" w:ascii="宋体" w:hAnsi="宋体" w:cs="宋体"/>
                <w:spacing w:val="-2"/>
                <w:kern w:val="0"/>
                <w:sz w:val="21"/>
                <w:szCs w:val="21"/>
                <w:lang w:bidi="ar"/>
              </w:rPr>
              <w:t>万元</w:t>
            </w:r>
            <w:r>
              <w:rPr>
                <w:rFonts w:hint="eastAsia" w:ascii="宋体" w:hAnsi="宋体" w:cs="宋体"/>
                <w:kern w:val="0"/>
                <w:sz w:val="21"/>
                <w:szCs w:val="21"/>
                <w:lang w:bidi="ar"/>
              </w:rPr>
              <w:t>）</w:t>
            </w:r>
          </w:p>
        </w:tc>
        <w:tc>
          <w:tcPr>
            <w:tcW w:w="1080"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104"/>
              <w:jc w:val="left"/>
              <w:rPr>
                <w:rFonts w:ascii="宋体" w:hAnsi="宋体" w:cs="宋体"/>
                <w:sz w:val="21"/>
                <w:szCs w:val="21"/>
              </w:rPr>
            </w:pPr>
            <w:r>
              <w:rPr>
                <w:rFonts w:hint="eastAsia" w:ascii="宋体" w:hAnsi="宋体" w:cs="宋体"/>
                <w:spacing w:val="-1"/>
                <w:kern w:val="0"/>
                <w:sz w:val="21"/>
                <w:szCs w:val="21"/>
                <w:lang w:bidi="ar"/>
              </w:rPr>
              <w:t>利润总额</w:t>
            </w:r>
          </w:p>
          <w:p>
            <w:pPr>
              <w:pStyle w:val="16"/>
              <w:autoSpaceDE w:val="0"/>
              <w:autoSpaceDN w:val="0"/>
              <w:spacing w:before="43"/>
              <w:ind w:left="104"/>
              <w:jc w:val="left"/>
              <w:rPr>
                <w:rFonts w:ascii="宋体" w:hAnsi="宋体" w:cs="宋体"/>
                <w:sz w:val="21"/>
                <w:szCs w:val="21"/>
              </w:rPr>
            </w:pPr>
            <w:r>
              <w:rPr>
                <w:rFonts w:hint="eastAsia" w:ascii="宋体" w:hAnsi="宋体" w:cs="宋体"/>
                <w:kern w:val="0"/>
                <w:sz w:val="21"/>
                <w:szCs w:val="21"/>
                <w:lang w:bidi="ar"/>
              </w:rPr>
              <w:t>（</w:t>
            </w:r>
            <w:r>
              <w:rPr>
                <w:rFonts w:hint="eastAsia" w:ascii="宋体" w:hAnsi="宋体" w:cs="宋体"/>
                <w:spacing w:val="-2"/>
                <w:kern w:val="0"/>
                <w:sz w:val="21"/>
                <w:szCs w:val="21"/>
                <w:lang w:bidi="ar"/>
              </w:rPr>
              <w:t>万元</w:t>
            </w:r>
            <w:r>
              <w:rPr>
                <w:rFonts w:hint="eastAsia" w:ascii="宋体" w:hAnsi="宋体" w:cs="宋体"/>
                <w:kern w:val="0"/>
                <w:sz w:val="21"/>
                <w:szCs w:val="21"/>
                <w:lang w:bidi="ar"/>
              </w:rPr>
              <w:t>）</w:t>
            </w:r>
          </w:p>
        </w:tc>
        <w:tc>
          <w:tcPr>
            <w:tcW w:w="89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118"/>
              <w:jc w:val="left"/>
              <w:rPr>
                <w:rFonts w:ascii="宋体" w:hAnsi="宋体" w:cs="宋体"/>
                <w:sz w:val="21"/>
                <w:szCs w:val="21"/>
              </w:rPr>
            </w:pPr>
            <w:r>
              <w:rPr>
                <w:rFonts w:hint="eastAsia" w:ascii="宋体" w:hAnsi="宋体" w:cs="宋体"/>
                <w:kern w:val="0"/>
                <w:sz w:val="21"/>
                <w:szCs w:val="21"/>
                <w:lang w:bidi="ar"/>
              </w:rPr>
              <w:t>净利润</w:t>
            </w:r>
          </w:p>
          <w:p>
            <w:pPr>
              <w:pStyle w:val="16"/>
              <w:autoSpaceDE w:val="0"/>
              <w:autoSpaceDN w:val="0"/>
              <w:spacing w:before="43"/>
              <w:ind w:left="15"/>
              <w:jc w:val="left"/>
              <w:rPr>
                <w:rFonts w:ascii="宋体" w:hAnsi="宋体" w:cs="宋体"/>
                <w:sz w:val="21"/>
                <w:szCs w:val="21"/>
              </w:rPr>
            </w:pPr>
            <w:r>
              <w:rPr>
                <w:rFonts w:hint="eastAsia" w:ascii="宋体" w:hAnsi="宋体" w:cs="宋体"/>
                <w:kern w:val="0"/>
                <w:sz w:val="21"/>
                <w:szCs w:val="21"/>
                <w:lang w:bidi="ar"/>
              </w:rPr>
              <w:t>（万元）</w:t>
            </w:r>
          </w:p>
        </w:tc>
        <w:tc>
          <w:tcPr>
            <w:tcW w:w="125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spacing w:before="22"/>
              <w:ind w:left="87"/>
              <w:jc w:val="left"/>
              <w:rPr>
                <w:rFonts w:ascii="宋体" w:hAnsi="宋体" w:cs="宋体"/>
                <w:sz w:val="21"/>
                <w:szCs w:val="21"/>
              </w:rPr>
            </w:pPr>
            <w:r>
              <w:rPr>
                <w:rFonts w:hint="eastAsia" w:ascii="宋体" w:hAnsi="宋体" w:cs="宋体"/>
                <w:kern w:val="0"/>
                <w:sz w:val="21"/>
                <w:szCs w:val="21"/>
                <w:lang w:bidi="ar"/>
              </w:rPr>
              <w:t>资产负债率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3" w:hRule="atLeast"/>
        </w:trPr>
        <w:tc>
          <w:tcPr>
            <w:tcW w:w="2087" w:type="dxa"/>
            <w:vMerge w:val="continue"/>
            <w:tcBorders>
              <w:top w:val="single" w:color="000000" w:sz="12" w:space="0"/>
              <w:left w:val="single" w:color="000000" w:sz="12" w:space="0"/>
              <w:bottom w:val="single" w:color="000000" w:sz="12" w:space="0"/>
              <w:right w:val="single" w:color="000000" w:sz="12" w:space="0"/>
            </w:tcBorders>
            <w:shd w:val="clear" w:color="auto" w:fill="auto"/>
          </w:tcPr>
          <w:p>
            <w:pPr>
              <w:rPr>
                <w:kern w:val="2"/>
                <w:sz w:val="21"/>
                <w:szCs w:val="21"/>
              </w:rPr>
            </w:pPr>
          </w:p>
        </w:tc>
        <w:tc>
          <w:tcPr>
            <w:tcW w:w="107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080"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89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25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3" w:hRule="atLeast"/>
        </w:trPr>
        <w:tc>
          <w:tcPr>
            <w:tcW w:w="2087" w:type="dxa"/>
            <w:vMerge w:val="continue"/>
            <w:tcBorders>
              <w:top w:val="single" w:color="000000" w:sz="12" w:space="0"/>
              <w:left w:val="single" w:color="000000" w:sz="12" w:space="0"/>
              <w:bottom w:val="single" w:color="000000" w:sz="12" w:space="0"/>
              <w:right w:val="single" w:color="000000" w:sz="12" w:space="0"/>
            </w:tcBorders>
            <w:shd w:val="clear" w:color="auto" w:fill="auto"/>
          </w:tcPr>
          <w:p>
            <w:pPr>
              <w:rPr>
                <w:kern w:val="2"/>
                <w:sz w:val="21"/>
                <w:szCs w:val="21"/>
              </w:rPr>
            </w:pPr>
          </w:p>
        </w:tc>
        <w:tc>
          <w:tcPr>
            <w:tcW w:w="107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43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080"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89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c>
          <w:tcPr>
            <w:tcW w:w="1259" w:type="dxa"/>
            <w:tcBorders>
              <w:top w:val="single" w:color="000000" w:sz="12" w:space="0"/>
              <w:left w:val="single" w:color="000000" w:sz="12" w:space="0"/>
              <w:bottom w:val="single" w:color="000000" w:sz="12" w:space="0"/>
              <w:right w:val="single" w:color="000000" w:sz="12" w:space="0"/>
            </w:tcBorders>
            <w:shd w:val="clear" w:color="auto" w:fill="auto"/>
          </w:tcPr>
          <w:p>
            <w:pPr>
              <w:pStyle w:val="16"/>
              <w:autoSpaceDE w:val="0"/>
              <w:autoSpaceDN w:val="0"/>
              <w:jc w:val="left"/>
              <w:rPr>
                <w:rFonts w:ascii="宋体" w:hAnsi="宋体" w:cs="宋体"/>
                <w:sz w:val="21"/>
                <w:szCs w:val="21"/>
              </w:rPr>
            </w:pPr>
          </w:p>
        </w:tc>
      </w:tr>
    </w:tbl>
    <w:p>
      <w:pPr>
        <w:spacing w:before="60" w:beforeLines="25" w:after="60" w:afterLines="25" w:line="360" w:lineRule="auto"/>
        <w:ind w:firstLine="420" w:firstLineChars="200"/>
        <w:rPr>
          <w:sz w:val="21"/>
          <w:szCs w:val="21"/>
        </w:rPr>
      </w:pPr>
    </w:p>
    <w:p>
      <w:pPr>
        <w:spacing w:before="60" w:beforeLines="25" w:after="60" w:afterLines="25" w:line="360" w:lineRule="auto"/>
        <w:ind w:firstLine="420" w:firstLineChars="200"/>
        <w:rPr>
          <w:sz w:val="21"/>
          <w:szCs w:val="21"/>
        </w:rPr>
      </w:pPr>
      <w:r>
        <w:rPr>
          <w:rFonts w:hint="eastAsia"/>
          <w:sz w:val="21"/>
          <w:szCs w:val="21"/>
          <w:lang w:val="en-US" w:bidi="ar"/>
        </w:rPr>
        <w:t>注：</w:t>
      </w:r>
      <w:r>
        <w:rPr>
          <w:sz w:val="21"/>
          <w:szCs w:val="21"/>
          <w:lang w:val="en-US" w:bidi="ar"/>
        </w:rPr>
        <w:t>1）文字描述：单位性质、发展历程、经营规模及服务理念、主营产品、技术力量等。</w:t>
      </w:r>
    </w:p>
    <w:p>
      <w:pPr>
        <w:spacing w:before="60" w:beforeLines="25" w:after="60" w:afterLines="25" w:line="360" w:lineRule="auto"/>
        <w:ind w:firstLine="840" w:firstLineChars="400"/>
        <w:rPr>
          <w:sz w:val="21"/>
          <w:szCs w:val="21"/>
        </w:rPr>
      </w:pPr>
      <w:r>
        <w:rPr>
          <w:sz w:val="21"/>
          <w:szCs w:val="21"/>
          <w:lang w:val="en-US" w:bidi="ar"/>
        </w:rPr>
        <w:t>2）图片描述：经营场所、主要或关键产品介绍、生产场所及工艺流程等。</w:t>
      </w:r>
    </w:p>
    <w:p>
      <w:pPr>
        <w:spacing w:before="60" w:beforeLines="25" w:after="60" w:afterLines="25" w:line="360" w:lineRule="auto"/>
        <w:ind w:firstLine="840" w:firstLineChars="400"/>
        <w:rPr>
          <w:sz w:val="21"/>
          <w:szCs w:val="21"/>
        </w:rPr>
      </w:pPr>
      <w:r>
        <w:rPr>
          <w:sz w:val="21"/>
          <w:szCs w:val="21"/>
          <w:lang w:val="en-US" w:bidi="ar"/>
        </w:rPr>
        <w:t>3）如响应供应商此表数据有虚假，一经查实，自行承担相关责任。</w:t>
      </w:r>
    </w:p>
    <w:p>
      <w:pPr>
        <w:pStyle w:val="16"/>
        <w:autoSpaceDE w:val="0"/>
        <w:autoSpaceDN w:val="0"/>
        <w:jc w:val="left"/>
        <w:rPr>
          <w:rFonts w:ascii="宋体" w:hAnsi="宋体" w:cs="宋体"/>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sectPr>
          <w:pgSz w:w="11910" w:h="16840"/>
          <w:pgMar w:top="1440" w:right="1080" w:bottom="1440" w:left="1080" w:header="945" w:footer="893" w:gutter="0"/>
          <w:cols w:space="720" w:num="1"/>
        </w:sectPr>
      </w:pPr>
    </w:p>
    <w:p>
      <w:pPr>
        <w:tabs>
          <w:tab w:val="left" w:pos="648"/>
        </w:tabs>
        <w:spacing w:before="60" w:beforeLines="25" w:after="60" w:afterLines="25" w:line="360" w:lineRule="auto"/>
        <w:rPr>
          <w:b/>
          <w:spacing w:val="-2"/>
          <w:sz w:val="21"/>
          <w:szCs w:val="21"/>
          <w:lang w:val="en-US"/>
        </w:rPr>
      </w:pPr>
      <w:r>
        <w:rPr>
          <w:b/>
          <w:spacing w:val="-2"/>
          <w:sz w:val="21"/>
          <w:szCs w:val="21"/>
          <w:lang w:val="en-US" w:bidi="ar"/>
        </w:rPr>
        <w:t>(2)同类项目业绩介绍</w:t>
      </w:r>
    </w:p>
    <w:p>
      <w:pPr>
        <w:pStyle w:val="16"/>
        <w:autoSpaceDE w:val="0"/>
        <w:autoSpaceDN w:val="0"/>
        <w:spacing w:before="4"/>
        <w:jc w:val="left"/>
        <w:rPr>
          <w:rFonts w:ascii="宋体" w:hAnsi="宋体" w:cs="宋体"/>
          <w:b/>
          <w:sz w:val="21"/>
          <w:szCs w:val="21"/>
        </w:rPr>
      </w:pPr>
    </w:p>
    <w:tbl>
      <w:tblPr>
        <w:tblStyle w:val="18"/>
        <w:tblW w:w="9570" w:type="dxa"/>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8"/>
        <w:gridCol w:w="2227"/>
        <w:gridCol w:w="2889"/>
        <w:gridCol w:w="1188"/>
        <w:gridCol w:w="21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1118" w:type="dxa"/>
            <w:tcBorders>
              <w:top w:val="single" w:color="000000" w:sz="4" w:space="0"/>
              <w:left w:val="single" w:color="000000" w:sz="4" w:space="0"/>
              <w:bottom w:val="single" w:color="000000" w:sz="4" w:space="0"/>
              <w:right w:val="single" w:color="000000" w:sz="4" w:space="0"/>
            </w:tcBorders>
            <w:shd w:val="clear" w:color="auto" w:fill="F3F3F3"/>
          </w:tcPr>
          <w:p>
            <w:pPr>
              <w:pStyle w:val="16"/>
              <w:autoSpaceDE w:val="0"/>
              <w:autoSpaceDN w:val="0"/>
              <w:spacing w:before="137"/>
              <w:ind w:left="328" w:right="318"/>
              <w:jc w:val="center"/>
              <w:rPr>
                <w:rFonts w:ascii="宋体" w:hAnsi="宋体" w:cs="宋体"/>
                <w:b/>
                <w:sz w:val="21"/>
                <w:szCs w:val="21"/>
              </w:rPr>
            </w:pPr>
            <w:r>
              <w:rPr>
                <w:rFonts w:hint="eastAsia" w:ascii="宋体" w:hAnsi="宋体" w:cs="宋体"/>
                <w:b/>
                <w:kern w:val="0"/>
                <w:sz w:val="21"/>
                <w:szCs w:val="21"/>
                <w:lang w:bidi="ar"/>
              </w:rPr>
              <w:t>序号</w:t>
            </w:r>
          </w:p>
        </w:tc>
        <w:tc>
          <w:tcPr>
            <w:tcW w:w="2227" w:type="dxa"/>
            <w:tcBorders>
              <w:top w:val="single" w:color="000000" w:sz="4" w:space="0"/>
              <w:left w:val="single" w:color="000000" w:sz="4" w:space="0"/>
              <w:bottom w:val="single" w:color="000000" w:sz="4" w:space="0"/>
              <w:right w:val="single" w:color="000000" w:sz="4" w:space="0"/>
            </w:tcBorders>
            <w:shd w:val="clear" w:color="auto" w:fill="F3F3F3"/>
          </w:tcPr>
          <w:p>
            <w:pPr>
              <w:pStyle w:val="16"/>
              <w:autoSpaceDE w:val="0"/>
              <w:autoSpaceDN w:val="0"/>
              <w:spacing w:before="137"/>
              <w:ind w:left="691"/>
              <w:jc w:val="left"/>
              <w:rPr>
                <w:rFonts w:ascii="宋体" w:hAnsi="宋体" w:cs="宋体"/>
                <w:b/>
                <w:sz w:val="21"/>
                <w:szCs w:val="21"/>
              </w:rPr>
            </w:pPr>
            <w:r>
              <w:rPr>
                <w:rFonts w:hint="eastAsia" w:ascii="宋体" w:hAnsi="宋体" w:cs="宋体"/>
                <w:b/>
                <w:kern w:val="0"/>
                <w:sz w:val="21"/>
                <w:szCs w:val="21"/>
                <w:lang w:bidi="ar"/>
              </w:rPr>
              <w:t>客户名称</w:t>
            </w:r>
          </w:p>
        </w:tc>
        <w:tc>
          <w:tcPr>
            <w:tcW w:w="2889" w:type="dxa"/>
            <w:tcBorders>
              <w:top w:val="single" w:color="000000" w:sz="4" w:space="0"/>
              <w:left w:val="single" w:color="000000" w:sz="4" w:space="0"/>
              <w:bottom w:val="single" w:color="000000" w:sz="4" w:space="0"/>
              <w:right w:val="single" w:color="000000" w:sz="4" w:space="0"/>
            </w:tcBorders>
            <w:shd w:val="clear" w:color="auto" w:fill="F3F3F3"/>
          </w:tcPr>
          <w:p>
            <w:pPr>
              <w:pStyle w:val="16"/>
              <w:autoSpaceDE w:val="0"/>
              <w:autoSpaceDN w:val="0"/>
              <w:spacing w:before="137"/>
              <w:ind w:left="108"/>
              <w:jc w:val="left"/>
              <w:rPr>
                <w:rFonts w:ascii="宋体" w:hAnsi="宋体" w:cs="宋体"/>
                <w:b/>
                <w:sz w:val="21"/>
                <w:szCs w:val="21"/>
              </w:rPr>
            </w:pPr>
            <w:r>
              <w:rPr>
                <w:rFonts w:hint="eastAsia" w:ascii="宋体" w:hAnsi="宋体" w:cs="宋体"/>
                <w:b/>
                <w:kern w:val="0"/>
                <w:sz w:val="21"/>
                <w:szCs w:val="21"/>
                <w:lang w:bidi="ar"/>
              </w:rPr>
              <w:t>项目名称及合同金额（万元）</w:t>
            </w:r>
          </w:p>
        </w:tc>
        <w:tc>
          <w:tcPr>
            <w:tcW w:w="1188" w:type="dxa"/>
            <w:tcBorders>
              <w:top w:val="single" w:color="000000" w:sz="4" w:space="0"/>
              <w:left w:val="single" w:color="000000" w:sz="4" w:space="0"/>
              <w:bottom w:val="single" w:color="000000" w:sz="4" w:space="0"/>
              <w:right w:val="single" w:color="000000" w:sz="4" w:space="0"/>
            </w:tcBorders>
            <w:shd w:val="clear" w:color="auto" w:fill="F3F3F3"/>
          </w:tcPr>
          <w:p>
            <w:pPr>
              <w:pStyle w:val="16"/>
              <w:autoSpaceDE w:val="0"/>
              <w:autoSpaceDN w:val="0"/>
              <w:spacing w:before="137"/>
              <w:ind w:left="109"/>
              <w:jc w:val="left"/>
              <w:rPr>
                <w:rFonts w:ascii="宋体" w:hAnsi="宋体" w:cs="宋体"/>
                <w:b/>
                <w:sz w:val="21"/>
                <w:szCs w:val="21"/>
              </w:rPr>
            </w:pPr>
            <w:r>
              <w:rPr>
                <w:rFonts w:hint="eastAsia" w:ascii="宋体" w:hAnsi="宋体" w:cs="宋体"/>
                <w:b/>
                <w:kern w:val="0"/>
                <w:sz w:val="21"/>
                <w:szCs w:val="21"/>
                <w:lang w:bidi="ar"/>
              </w:rPr>
              <w:t>竣工时间</w:t>
            </w:r>
          </w:p>
        </w:tc>
        <w:tc>
          <w:tcPr>
            <w:tcW w:w="2148" w:type="dxa"/>
            <w:tcBorders>
              <w:top w:val="single" w:color="000000" w:sz="4" w:space="0"/>
              <w:left w:val="single" w:color="000000" w:sz="4" w:space="0"/>
              <w:bottom w:val="single" w:color="000000" w:sz="4" w:space="0"/>
              <w:right w:val="single" w:color="000000" w:sz="4" w:space="0"/>
            </w:tcBorders>
            <w:shd w:val="clear" w:color="auto" w:fill="F3F3F3"/>
          </w:tcPr>
          <w:p>
            <w:pPr>
              <w:pStyle w:val="16"/>
              <w:autoSpaceDE w:val="0"/>
              <w:autoSpaceDN w:val="0"/>
              <w:spacing w:before="137"/>
              <w:ind w:left="441"/>
              <w:jc w:val="left"/>
              <w:rPr>
                <w:rFonts w:ascii="宋体" w:hAnsi="宋体" w:cs="宋体"/>
                <w:b/>
                <w:sz w:val="21"/>
                <w:szCs w:val="21"/>
              </w:rPr>
            </w:pPr>
            <w:r>
              <w:rPr>
                <w:rFonts w:hint="eastAsia" w:ascii="宋体" w:hAnsi="宋体" w:cs="宋体"/>
                <w:b/>
                <w:kern w:val="0"/>
                <w:sz w:val="21"/>
                <w:szCs w:val="21"/>
                <w:lang w:bidi="ar"/>
              </w:rPr>
              <w:t>联系人及电话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75"/>
              <w:ind w:left="10"/>
              <w:jc w:val="center"/>
              <w:rPr>
                <w:rFonts w:ascii="宋体" w:hAnsi="宋体" w:cs="宋体"/>
                <w:sz w:val="21"/>
                <w:szCs w:val="21"/>
              </w:rPr>
            </w:pPr>
            <w:r>
              <w:rPr>
                <w:rFonts w:ascii="宋体" w:hAnsi="宋体" w:cs="宋体"/>
                <w:kern w:val="0"/>
                <w:sz w:val="21"/>
                <w:szCs w:val="21"/>
                <w:lang w:bidi="ar"/>
              </w:rPr>
              <w:t>1</w:t>
            </w:r>
          </w:p>
        </w:tc>
        <w:tc>
          <w:tcPr>
            <w:tcW w:w="2227"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2889"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75"/>
              <w:ind w:left="10"/>
              <w:jc w:val="center"/>
              <w:rPr>
                <w:rFonts w:ascii="宋体" w:hAnsi="宋体" w:cs="宋体"/>
                <w:sz w:val="21"/>
                <w:szCs w:val="21"/>
              </w:rPr>
            </w:pPr>
            <w:r>
              <w:rPr>
                <w:rFonts w:ascii="宋体" w:hAnsi="宋体" w:cs="宋体"/>
                <w:kern w:val="0"/>
                <w:sz w:val="21"/>
                <w:szCs w:val="21"/>
                <w:lang w:bidi="ar"/>
              </w:rPr>
              <w:t>2</w:t>
            </w:r>
          </w:p>
        </w:tc>
        <w:tc>
          <w:tcPr>
            <w:tcW w:w="2227"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2889"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77"/>
              <w:ind w:left="10"/>
              <w:jc w:val="center"/>
              <w:rPr>
                <w:rFonts w:ascii="宋体" w:hAnsi="宋体" w:cs="宋体"/>
                <w:sz w:val="21"/>
                <w:szCs w:val="21"/>
              </w:rPr>
            </w:pPr>
            <w:r>
              <w:rPr>
                <w:rFonts w:ascii="宋体" w:hAnsi="宋体" w:cs="宋体"/>
                <w:kern w:val="0"/>
                <w:sz w:val="21"/>
                <w:szCs w:val="21"/>
                <w:lang w:bidi="ar"/>
              </w:rPr>
              <w:t>3</w:t>
            </w:r>
          </w:p>
        </w:tc>
        <w:tc>
          <w:tcPr>
            <w:tcW w:w="2227"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2889"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1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78"/>
              <w:ind w:left="10"/>
              <w:jc w:val="center"/>
              <w:rPr>
                <w:rFonts w:ascii="宋体" w:hAnsi="宋体" w:cs="宋体"/>
                <w:sz w:val="21"/>
                <w:szCs w:val="21"/>
              </w:rPr>
            </w:pPr>
            <w:r>
              <w:rPr>
                <w:rFonts w:hint="eastAsia" w:ascii="宋体" w:hAnsi="宋体" w:cs="宋体"/>
                <w:kern w:val="0"/>
                <w:sz w:val="21"/>
                <w:szCs w:val="21"/>
                <w:lang w:bidi="ar"/>
              </w:rPr>
              <w:t>…</w:t>
            </w:r>
          </w:p>
        </w:tc>
        <w:tc>
          <w:tcPr>
            <w:tcW w:w="2227"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2889"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bl>
    <w:p>
      <w:pPr>
        <w:pStyle w:val="16"/>
        <w:autoSpaceDE w:val="0"/>
        <w:autoSpaceDN w:val="0"/>
        <w:spacing w:before="2"/>
        <w:jc w:val="left"/>
        <w:rPr>
          <w:rFonts w:ascii="宋体" w:hAnsi="宋体" w:cs="宋体"/>
          <w:sz w:val="21"/>
          <w:szCs w:val="21"/>
        </w:rPr>
      </w:pPr>
    </w:p>
    <w:p>
      <w:pPr>
        <w:pStyle w:val="16"/>
        <w:tabs>
          <w:tab w:val="left" w:pos="4607"/>
        </w:tabs>
        <w:autoSpaceDE w:val="0"/>
        <w:autoSpaceDN w:val="0"/>
        <w:spacing w:before="60" w:beforeLines="25"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60" w:beforeLines="25"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60" w:beforeLines="25"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60" w:beforeLines="25" w:after="120" w:afterLines="50"/>
        <w:rPr>
          <w:b/>
          <w:spacing w:val="-2"/>
          <w:sz w:val="21"/>
          <w:szCs w:val="21"/>
          <w:lang w:val="en-US"/>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tabs>
          <w:tab w:val="left" w:pos="648"/>
        </w:tabs>
        <w:spacing w:before="120" w:beforeLines="50" w:after="120" w:afterLines="50" w:line="360" w:lineRule="auto"/>
        <w:rPr>
          <w:b/>
          <w:spacing w:val="-2"/>
          <w:sz w:val="21"/>
          <w:szCs w:val="21"/>
          <w:lang w:val="en-US"/>
        </w:rPr>
      </w:pPr>
    </w:p>
    <w:p>
      <w:pPr>
        <w:tabs>
          <w:tab w:val="left" w:pos="648"/>
        </w:tabs>
        <w:spacing w:before="60" w:beforeLines="25" w:after="60" w:afterLines="25" w:line="360" w:lineRule="auto"/>
        <w:rPr>
          <w:b/>
          <w:spacing w:val="-2"/>
          <w:sz w:val="21"/>
          <w:szCs w:val="21"/>
          <w:lang w:val="en-US"/>
        </w:rPr>
      </w:pPr>
      <w:r>
        <w:rPr>
          <w:b/>
          <w:spacing w:val="-2"/>
          <w:sz w:val="21"/>
          <w:szCs w:val="21"/>
          <w:lang w:val="en-US"/>
        </w:rPr>
        <w:t>(3)拟任执行管理及技术人员情况</w:t>
      </w:r>
    </w:p>
    <w:tbl>
      <w:tblPr>
        <w:tblStyle w:val="19"/>
        <w:tblpPr w:leftFromText="180" w:rightFromText="180" w:vertAnchor="text" w:horzAnchor="page" w:tblpX="1164" w:tblpY="132"/>
        <w:tblOverlap w:val="never"/>
        <w:tblW w:w="10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020"/>
        <w:gridCol w:w="975"/>
        <w:gridCol w:w="3060"/>
        <w:gridCol w:w="825"/>
        <w:gridCol w:w="127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0" w:type="dxa"/>
            <w:vAlign w:val="center"/>
          </w:tcPr>
          <w:p>
            <w:pPr>
              <w:pStyle w:val="8"/>
              <w:jc w:val="center"/>
              <w:rPr>
                <w:b/>
                <w:kern w:val="2"/>
              </w:rPr>
            </w:pPr>
            <w:r>
              <w:rPr>
                <w:rFonts w:hint="eastAsia"/>
                <w:b/>
                <w:kern w:val="2"/>
              </w:rPr>
              <w:t>职责分工</w:t>
            </w:r>
          </w:p>
        </w:tc>
        <w:tc>
          <w:tcPr>
            <w:tcW w:w="1020" w:type="dxa"/>
            <w:vAlign w:val="center"/>
          </w:tcPr>
          <w:p>
            <w:pPr>
              <w:pStyle w:val="8"/>
              <w:jc w:val="center"/>
              <w:rPr>
                <w:b/>
                <w:kern w:val="2"/>
              </w:rPr>
            </w:pPr>
            <w:r>
              <w:rPr>
                <w:rFonts w:hint="eastAsia"/>
                <w:b/>
                <w:kern w:val="2"/>
              </w:rPr>
              <w:t>姓名</w:t>
            </w:r>
          </w:p>
        </w:tc>
        <w:tc>
          <w:tcPr>
            <w:tcW w:w="975" w:type="dxa"/>
            <w:vAlign w:val="center"/>
          </w:tcPr>
          <w:p>
            <w:pPr>
              <w:pStyle w:val="8"/>
              <w:jc w:val="center"/>
              <w:rPr>
                <w:b/>
                <w:kern w:val="2"/>
              </w:rPr>
            </w:pPr>
            <w:r>
              <w:rPr>
                <w:rFonts w:hint="eastAsia"/>
                <w:b/>
                <w:kern w:val="2"/>
              </w:rPr>
              <w:t>现职务</w:t>
            </w:r>
          </w:p>
        </w:tc>
        <w:tc>
          <w:tcPr>
            <w:tcW w:w="3060" w:type="dxa"/>
            <w:vAlign w:val="center"/>
          </w:tcPr>
          <w:p>
            <w:pPr>
              <w:pStyle w:val="8"/>
              <w:jc w:val="center"/>
              <w:rPr>
                <w:b/>
                <w:kern w:val="2"/>
                <w:lang w:val="en-US"/>
              </w:rPr>
            </w:pPr>
            <w:r>
              <w:rPr>
                <w:rFonts w:hint="eastAsia"/>
                <w:b/>
                <w:kern w:val="2"/>
              </w:rPr>
              <w:t>曾主持</w:t>
            </w:r>
            <w:r>
              <w:rPr>
                <w:b/>
                <w:kern w:val="2"/>
                <w:lang w:val="en-US"/>
              </w:rPr>
              <w:t>/参与的同类项目经历</w:t>
            </w:r>
          </w:p>
        </w:tc>
        <w:tc>
          <w:tcPr>
            <w:tcW w:w="825" w:type="dxa"/>
            <w:vAlign w:val="center"/>
          </w:tcPr>
          <w:p>
            <w:pPr>
              <w:pStyle w:val="8"/>
              <w:jc w:val="center"/>
              <w:rPr>
                <w:b/>
                <w:kern w:val="2"/>
              </w:rPr>
            </w:pPr>
            <w:r>
              <w:rPr>
                <w:rFonts w:hint="eastAsia"/>
                <w:b/>
                <w:kern w:val="2"/>
              </w:rPr>
              <w:t>职称</w:t>
            </w:r>
          </w:p>
        </w:tc>
        <w:tc>
          <w:tcPr>
            <w:tcW w:w="1275" w:type="dxa"/>
            <w:vAlign w:val="center"/>
          </w:tcPr>
          <w:p>
            <w:pPr>
              <w:pStyle w:val="8"/>
              <w:jc w:val="center"/>
              <w:rPr>
                <w:b/>
                <w:kern w:val="2"/>
              </w:rPr>
            </w:pPr>
            <w:r>
              <w:rPr>
                <w:rFonts w:hint="eastAsia"/>
                <w:b/>
                <w:kern w:val="2"/>
              </w:rPr>
              <w:t>专业工龄</w:t>
            </w:r>
          </w:p>
        </w:tc>
        <w:tc>
          <w:tcPr>
            <w:tcW w:w="1755" w:type="dxa"/>
            <w:vAlign w:val="center"/>
          </w:tcPr>
          <w:p>
            <w:pPr>
              <w:pStyle w:val="8"/>
              <w:jc w:val="center"/>
              <w:rPr>
                <w:b/>
                <w:kern w:val="2"/>
                <w:lang w:val="en-US"/>
              </w:rPr>
            </w:pPr>
            <w:r>
              <w:rPr>
                <w:rFonts w:hint="eastAsia"/>
                <w:b/>
                <w:kern w:val="2"/>
              </w:rPr>
              <w:t>联系电话</w:t>
            </w:r>
            <w:r>
              <w:rPr>
                <w:b/>
                <w:kern w:val="2"/>
                <w:lang w:val="en-US"/>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0" w:type="dxa"/>
            <w:vAlign w:val="center"/>
          </w:tcPr>
          <w:p>
            <w:pPr>
              <w:pStyle w:val="8"/>
              <w:jc w:val="center"/>
              <w:rPr>
                <w:b/>
                <w:kern w:val="2"/>
              </w:rPr>
            </w:pPr>
            <w:r>
              <w:rPr>
                <w:rFonts w:hint="eastAsia"/>
                <w:b/>
                <w:kern w:val="2"/>
              </w:rPr>
              <w:t>项目负责人</w:t>
            </w:r>
          </w:p>
        </w:tc>
        <w:tc>
          <w:tcPr>
            <w:tcW w:w="1020" w:type="dxa"/>
            <w:vAlign w:val="center"/>
          </w:tcPr>
          <w:p>
            <w:pPr>
              <w:pStyle w:val="8"/>
              <w:jc w:val="center"/>
              <w:rPr>
                <w:b/>
                <w:kern w:val="2"/>
              </w:rPr>
            </w:pPr>
          </w:p>
        </w:tc>
        <w:tc>
          <w:tcPr>
            <w:tcW w:w="975" w:type="dxa"/>
            <w:vAlign w:val="center"/>
          </w:tcPr>
          <w:p>
            <w:pPr>
              <w:pStyle w:val="8"/>
              <w:jc w:val="center"/>
              <w:rPr>
                <w:b/>
                <w:kern w:val="2"/>
              </w:rPr>
            </w:pPr>
          </w:p>
        </w:tc>
        <w:tc>
          <w:tcPr>
            <w:tcW w:w="3060" w:type="dxa"/>
            <w:vAlign w:val="center"/>
          </w:tcPr>
          <w:p>
            <w:pPr>
              <w:pStyle w:val="8"/>
              <w:jc w:val="center"/>
              <w:rPr>
                <w:b/>
                <w:kern w:val="2"/>
              </w:rPr>
            </w:pPr>
          </w:p>
        </w:tc>
        <w:tc>
          <w:tcPr>
            <w:tcW w:w="825" w:type="dxa"/>
            <w:vAlign w:val="center"/>
          </w:tcPr>
          <w:p>
            <w:pPr>
              <w:pStyle w:val="8"/>
              <w:jc w:val="center"/>
              <w:rPr>
                <w:b/>
                <w:kern w:val="2"/>
              </w:rPr>
            </w:pPr>
          </w:p>
        </w:tc>
        <w:tc>
          <w:tcPr>
            <w:tcW w:w="1275" w:type="dxa"/>
            <w:vAlign w:val="center"/>
          </w:tcPr>
          <w:p>
            <w:pPr>
              <w:pStyle w:val="8"/>
              <w:jc w:val="center"/>
              <w:rPr>
                <w:b/>
                <w:kern w:val="2"/>
              </w:rPr>
            </w:pPr>
          </w:p>
        </w:tc>
        <w:tc>
          <w:tcPr>
            <w:tcW w:w="1755" w:type="dxa"/>
            <w:vAlign w:val="center"/>
          </w:tcPr>
          <w:p>
            <w:pPr>
              <w:pStyle w:val="8"/>
              <w:jc w:val="center"/>
              <w:rPr>
                <w:b/>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0" w:type="dxa"/>
            <w:vMerge w:val="restart"/>
            <w:vAlign w:val="center"/>
          </w:tcPr>
          <w:p>
            <w:pPr>
              <w:pStyle w:val="8"/>
              <w:jc w:val="center"/>
              <w:rPr>
                <w:b/>
                <w:kern w:val="2"/>
              </w:rPr>
            </w:pPr>
            <w:r>
              <w:rPr>
                <w:rFonts w:hint="eastAsia"/>
                <w:lang w:val="en-US" w:bidi="ar"/>
              </w:rPr>
              <w:t>其他主要技术人员</w:t>
            </w:r>
          </w:p>
        </w:tc>
        <w:tc>
          <w:tcPr>
            <w:tcW w:w="1020" w:type="dxa"/>
            <w:vAlign w:val="center"/>
          </w:tcPr>
          <w:p>
            <w:pPr>
              <w:pStyle w:val="8"/>
              <w:jc w:val="center"/>
              <w:rPr>
                <w:b/>
                <w:kern w:val="2"/>
              </w:rPr>
            </w:pPr>
          </w:p>
        </w:tc>
        <w:tc>
          <w:tcPr>
            <w:tcW w:w="975" w:type="dxa"/>
            <w:vAlign w:val="center"/>
          </w:tcPr>
          <w:p>
            <w:pPr>
              <w:pStyle w:val="8"/>
              <w:jc w:val="center"/>
              <w:rPr>
                <w:b/>
                <w:kern w:val="2"/>
              </w:rPr>
            </w:pPr>
          </w:p>
        </w:tc>
        <w:tc>
          <w:tcPr>
            <w:tcW w:w="3060" w:type="dxa"/>
            <w:vAlign w:val="center"/>
          </w:tcPr>
          <w:p>
            <w:pPr>
              <w:pStyle w:val="8"/>
              <w:jc w:val="center"/>
              <w:rPr>
                <w:b/>
                <w:kern w:val="2"/>
              </w:rPr>
            </w:pPr>
          </w:p>
        </w:tc>
        <w:tc>
          <w:tcPr>
            <w:tcW w:w="825" w:type="dxa"/>
            <w:vAlign w:val="center"/>
          </w:tcPr>
          <w:p>
            <w:pPr>
              <w:pStyle w:val="8"/>
              <w:jc w:val="center"/>
              <w:rPr>
                <w:b/>
                <w:kern w:val="2"/>
              </w:rPr>
            </w:pPr>
          </w:p>
        </w:tc>
        <w:tc>
          <w:tcPr>
            <w:tcW w:w="1275" w:type="dxa"/>
            <w:vAlign w:val="center"/>
          </w:tcPr>
          <w:p>
            <w:pPr>
              <w:pStyle w:val="8"/>
              <w:jc w:val="center"/>
              <w:rPr>
                <w:b/>
                <w:kern w:val="2"/>
              </w:rPr>
            </w:pPr>
          </w:p>
        </w:tc>
        <w:tc>
          <w:tcPr>
            <w:tcW w:w="1755" w:type="dxa"/>
            <w:vAlign w:val="center"/>
          </w:tcPr>
          <w:p>
            <w:pPr>
              <w:pStyle w:val="8"/>
              <w:jc w:val="center"/>
              <w:rPr>
                <w:b/>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0" w:type="dxa"/>
            <w:vMerge w:val="continue"/>
            <w:vAlign w:val="center"/>
          </w:tcPr>
          <w:p>
            <w:pPr>
              <w:pStyle w:val="8"/>
              <w:jc w:val="center"/>
              <w:rPr>
                <w:b/>
                <w:kern w:val="2"/>
              </w:rPr>
            </w:pPr>
          </w:p>
        </w:tc>
        <w:tc>
          <w:tcPr>
            <w:tcW w:w="1020" w:type="dxa"/>
            <w:vAlign w:val="center"/>
          </w:tcPr>
          <w:p>
            <w:pPr>
              <w:pStyle w:val="8"/>
              <w:jc w:val="center"/>
              <w:rPr>
                <w:b/>
                <w:kern w:val="2"/>
              </w:rPr>
            </w:pPr>
          </w:p>
        </w:tc>
        <w:tc>
          <w:tcPr>
            <w:tcW w:w="975" w:type="dxa"/>
            <w:vAlign w:val="center"/>
          </w:tcPr>
          <w:p>
            <w:pPr>
              <w:pStyle w:val="8"/>
              <w:jc w:val="center"/>
              <w:rPr>
                <w:b/>
                <w:kern w:val="2"/>
              </w:rPr>
            </w:pPr>
          </w:p>
        </w:tc>
        <w:tc>
          <w:tcPr>
            <w:tcW w:w="3060" w:type="dxa"/>
            <w:vAlign w:val="center"/>
          </w:tcPr>
          <w:p>
            <w:pPr>
              <w:pStyle w:val="8"/>
              <w:jc w:val="center"/>
              <w:rPr>
                <w:b/>
                <w:kern w:val="2"/>
              </w:rPr>
            </w:pPr>
          </w:p>
        </w:tc>
        <w:tc>
          <w:tcPr>
            <w:tcW w:w="825" w:type="dxa"/>
            <w:vAlign w:val="center"/>
          </w:tcPr>
          <w:p>
            <w:pPr>
              <w:pStyle w:val="8"/>
              <w:jc w:val="center"/>
              <w:rPr>
                <w:b/>
                <w:kern w:val="2"/>
              </w:rPr>
            </w:pPr>
          </w:p>
        </w:tc>
        <w:tc>
          <w:tcPr>
            <w:tcW w:w="1275" w:type="dxa"/>
            <w:vAlign w:val="center"/>
          </w:tcPr>
          <w:p>
            <w:pPr>
              <w:pStyle w:val="8"/>
              <w:jc w:val="center"/>
              <w:rPr>
                <w:b/>
                <w:kern w:val="2"/>
              </w:rPr>
            </w:pPr>
          </w:p>
        </w:tc>
        <w:tc>
          <w:tcPr>
            <w:tcW w:w="1755" w:type="dxa"/>
            <w:vAlign w:val="center"/>
          </w:tcPr>
          <w:p>
            <w:pPr>
              <w:pStyle w:val="8"/>
              <w:jc w:val="center"/>
              <w:rPr>
                <w:b/>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0" w:type="dxa"/>
            <w:vMerge w:val="continue"/>
            <w:vAlign w:val="center"/>
          </w:tcPr>
          <w:p>
            <w:pPr>
              <w:pStyle w:val="8"/>
              <w:jc w:val="center"/>
              <w:rPr>
                <w:b/>
                <w:kern w:val="2"/>
              </w:rPr>
            </w:pPr>
          </w:p>
        </w:tc>
        <w:tc>
          <w:tcPr>
            <w:tcW w:w="1020" w:type="dxa"/>
            <w:vAlign w:val="center"/>
          </w:tcPr>
          <w:p>
            <w:pPr>
              <w:pStyle w:val="8"/>
              <w:jc w:val="center"/>
              <w:rPr>
                <w:b/>
                <w:kern w:val="2"/>
              </w:rPr>
            </w:pPr>
          </w:p>
        </w:tc>
        <w:tc>
          <w:tcPr>
            <w:tcW w:w="975" w:type="dxa"/>
            <w:vAlign w:val="center"/>
          </w:tcPr>
          <w:p>
            <w:pPr>
              <w:pStyle w:val="8"/>
              <w:jc w:val="center"/>
              <w:rPr>
                <w:b/>
                <w:kern w:val="2"/>
              </w:rPr>
            </w:pPr>
          </w:p>
        </w:tc>
        <w:tc>
          <w:tcPr>
            <w:tcW w:w="3060" w:type="dxa"/>
            <w:vAlign w:val="center"/>
          </w:tcPr>
          <w:p>
            <w:pPr>
              <w:pStyle w:val="8"/>
              <w:jc w:val="center"/>
              <w:rPr>
                <w:b/>
                <w:kern w:val="2"/>
              </w:rPr>
            </w:pPr>
          </w:p>
        </w:tc>
        <w:tc>
          <w:tcPr>
            <w:tcW w:w="825" w:type="dxa"/>
            <w:vAlign w:val="center"/>
          </w:tcPr>
          <w:p>
            <w:pPr>
              <w:pStyle w:val="8"/>
              <w:jc w:val="center"/>
              <w:rPr>
                <w:b/>
                <w:kern w:val="2"/>
              </w:rPr>
            </w:pPr>
          </w:p>
        </w:tc>
        <w:tc>
          <w:tcPr>
            <w:tcW w:w="1275" w:type="dxa"/>
            <w:vAlign w:val="center"/>
          </w:tcPr>
          <w:p>
            <w:pPr>
              <w:pStyle w:val="8"/>
              <w:jc w:val="center"/>
              <w:rPr>
                <w:b/>
                <w:kern w:val="2"/>
              </w:rPr>
            </w:pPr>
          </w:p>
        </w:tc>
        <w:tc>
          <w:tcPr>
            <w:tcW w:w="1755" w:type="dxa"/>
            <w:vAlign w:val="center"/>
          </w:tcPr>
          <w:p>
            <w:pPr>
              <w:pStyle w:val="8"/>
              <w:jc w:val="center"/>
              <w:rPr>
                <w:b/>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0" w:type="dxa"/>
            <w:vMerge w:val="continue"/>
            <w:vAlign w:val="center"/>
          </w:tcPr>
          <w:p>
            <w:pPr>
              <w:pStyle w:val="8"/>
              <w:jc w:val="center"/>
              <w:rPr>
                <w:b/>
                <w:kern w:val="2"/>
              </w:rPr>
            </w:pPr>
          </w:p>
        </w:tc>
        <w:tc>
          <w:tcPr>
            <w:tcW w:w="1020" w:type="dxa"/>
            <w:vAlign w:val="center"/>
          </w:tcPr>
          <w:p>
            <w:pPr>
              <w:pStyle w:val="8"/>
              <w:jc w:val="center"/>
              <w:rPr>
                <w:b/>
                <w:kern w:val="2"/>
              </w:rPr>
            </w:pPr>
          </w:p>
        </w:tc>
        <w:tc>
          <w:tcPr>
            <w:tcW w:w="975" w:type="dxa"/>
            <w:vAlign w:val="center"/>
          </w:tcPr>
          <w:p>
            <w:pPr>
              <w:pStyle w:val="8"/>
              <w:jc w:val="center"/>
              <w:rPr>
                <w:b/>
                <w:kern w:val="2"/>
              </w:rPr>
            </w:pPr>
          </w:p>
        </w:tc>
        <w:tc>
          <w:tcPr>
            <w:tcW w:w="3060" w:type="dxa"/>
            <w:vAlign w:val="center"/>
          </w:tcPr>
          <w:p>
            <w:pPr>
              <w:pStyle w:val="8"/>
              <w:jc w:val="center"/>
              <w:rPr>
                <w:b/>
                <w:kern w:val="2"/>
              </w:rPr>
            </w:pPr>
          </w:p>
        </w:tc>
        <w:tc>
          <w:tcPr>
            <w:tcW w:w="825" w:type="dxa"/>
            <w:vAlign w:val="center"/>
          </w:tcPr>
          <w:p>
            <w:pPr>
              <w:pStyle w:val="8"/>
              <w:jc w:val="center"/>
              <w:rPr>
                <w:b/>
                <w:kern w:val="2"/>
              </w:rPr>
            </w:pPr>
          </w:p>
        </w:tc>
        <w:tc>
          <w:tcPr>
            <w:tcW w:w="1275" w:type="dxa"/>
            <w:vAlign w:val="center"/>
          </w:tcPr>
          <w:p>
            <w:pPr>
              <w:pStyle w:val="8"/>
              <w:jc w:val="center"/>
              <w:rPr>
                <w:b/>
                <w:kern w:val="2"/>
              </w:rPr>
            </w:pPr>
          </w:p>
        </w:tc>
        <w:tc>
          <w:tcPr>
            <w:tcW w:w="1755" w:type="dxa"/>
            <w:vAlign w:val="center"/>
          </w:tcPr>
          <w:p>
            <w:pPr>
              <w:pStyle w:val="8"/>
              <w:jc w:val="center"/>
              <w:rPr>
                <w:b/>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0" w:type="dxa"/>
            <w:vMerge w:val="continue"/>
            <w:vAlign w:val="center"/>
          </w:tcPr>
          <w:p>
            <w:pPr>
              <w:pStyle w:val="8"/>
              <w:jc w:val="center"/>
              <w:rPr>
                <w:b/>
                <w:kern w:val="2"/>
              </w:rPr>
            </w:pPr>
          </w:p>
        </w:tc>
        <w:tc>
          <w:tcPr>
            <w:tcW w:w="1020" w:type="dxa"/>
            <w:vAlign w:val="center"/>
          </w:tcPr>
          <w:p>
            <w:pPr>
              <w:pStyle w:val="8"/>
              <w:jc w:val="center"/>
              <w:rPr>
                <w:b/>
                <w:kern w:val="2"/>
              </w:rPr>
            </w:pPr>
          </w:p>
        </w:tc>
        <w:tc>
          <w:tcPr>
            <w:tcW w:w="975" w:type="dxa"/>
            <w:vAlign w:val="center"/>
          </w:tcPr>
          <w:p>
            <w:pPr>
              <w:pStyle w:val="8"/>
              <w:jc w:val="center"/>
              <w:rPr>
                <w:b/>
                <w:kern w:val="2"/>
              </w:rPr>
            </w:pPr>
          </w:p>
        </w:tc>
        <w:tc>
          <w:tcPr>
            <w:tcW w:w="3060" w:type="dxa"/>
            <w:vAlign w:val="center"/>
          </w:tcPr>
          <w:p>
            <w:pPr>
              <w:pStyle w:val="8"/>
              <w:jc w:val="center"/>
              <w:rPr>
                <w:b/>
                <w:kern w:val="2"/>
              </w:rPr>
            </w:pPr>
          </w:p>
        </w:tc>
        <w:tc>
          <w:tcPr>
            <w:tcW w:w="825" w:type="dxa"/>
            <w:vAlign w:val="center"/>
          </w:tcPr>
          <w:p>
            <w:pPr>
              <w:pStyle w:val="8"/>
              <w:jc w:val="center"/>
              <w:rPr>
                <w:b/>
                <w:kern w:val="2"/>
              </w:rPr>
            </w:pPr>
          </w:p>
        </w:tc>
        <w:tc>
          <w:tcPr>
            <w:tcW w:w="1275" w:type="dxa"/>
            <w:vAlign w:val="center"/>
          </w:tcPr>
          <w:p>
            <w:pPr>
              <w:pStyle w:val="8"/>
              <w:jc w:val="center"/>
              <w:rPr>
                <w:b/>
                <w:kern w:val="2"/>
              </w:rPr>
            </w:pPr>
          </w:p>
        </w:tc>
        <w:tc>
          <w:tcPr>
            <w:tcW w:w="1755" w:type="dxa"/>
            <w:vAlign w:val="center"/>
          </w:tcPr>
          <w:p>
            <w:pPr>
              <w:pStyle w:val="8"/>
              <w:jc w:val="center"/>
              <w:rPr>
                <w:b/>
                <w:kern w:val="2"/>
              </w:rPr>
            </w:pPr>
          </w:p>
        </w:tc>
      </w:tr>
    </w:tbl>
    <w:p>
      <w:pPr>
        <w:pStyle w:val="16"/>
        <w:tabs>
          <w:tab w:val="left" w:pos="4607"/>
        </w:tabs>
        <w:autoSpaceDE w:val="0"/>
        <w:autoSpaceDN w:val="0"/>
        <w:spacing w:before="120" w:beforeLines="50" w:after="120" w:afterLines="50" w:line="360" w:lineRule="auto"/>
        <w:ind w:right="70"/>
        <w:jc w:val="left"/>
        <w:rPr>
          <w:rFonts w:ascii="宋体" w:hAnsi="宋体" w:cs="宋体"/>
          <w:kern w:val="0"/>
          <w:sz w:val="21"/>
          <w:szCs w:val="21"/>
          <w:lang w:bidi="ar"/>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sectPr>
          <w:pgSz w:w="11910" w:h="16840"/>
          <w:pgMar w:top="1440" w:right="1080" w:bottom="1440" w:left="1080" w:header="945" w:footer="893" w:gutter="0"/>
          <w:cols w:space="720" w:num="1"/>
        </w:sectPr>
      </w:pPr>
    </w:p>
    <w:p>
      <w:pPr>
        <w:pStyle w:val="6"/>
        <w:widowControl/>
        <w:tabs>
          <w:tab w:val="left" w:pos="888"/>
        </w:tabs>
        <w:spacing w:before="85"/>
        <w:ind w:left="0"/>
      </w:pPr>
      <w:r>
        <w:rPr>
          <w:lang w:val="en-US"/>
        </w:rPr>
        <w:t>(4)</w:t>
      </w:r>
      <w:r>
        <w:rPr>
          <w:rFonts w:hint="eastAsia"/>
        </w:rPr>
        <w:t>履约进度计划表</w:t>
      </w:r>
    </w:p>
    <w:p>
      <w:pPr>
        <w:pStyle w:val="16"/>
        <w:autoSpaceDE w:val="0"/>
        <w:autoSpaceDN w:val="0"/>
        <w:spacing w:before="4"/>
        <w:jc w:val="left"/>
        <w:rPr>
          <w:rFonts w:ascii="宋体" w:hAnsi="宋体" w:cs="宋体"/>
          <w:b/>
          <w:sz w:val="21"/>
          <w:szCs w:val="21"/>
        </w:rPr>
      </w:pPr>
    </w:p>
    <w:tbl>
      <w:tblPr>
        <w:tblStyle w:val="18"/>
        <w:tblW w:w="9568" w:type="dxa"/>
        <w:tblInd w:w="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3"/>
        <w:gridCol w:w="2783"/>
        <w:gridCol w:w="3314"/>
        <w:gridCol w:w="2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803" w:type="dxa"/>
            <w:tcBorders>
              <w:top w:val="single" w:color="000000" w:sz="4" w:space="0"/>
              <w:left w:val="single" w:color="000000" w:sz="4" w:space="0"/>
              <w:bottom w:val="single" w:color="000000" w:sz="4" w:space="0"/>
              <w:right w:val="single" w:color="000000" w:sz="4" w:space="0"/>
            </w:tcBorders>
            <w:shd w:val="clear" w:color="auto" w:fill="F3F3F3"/>
          </w:tcPr>
          <w:p>
            <w:pPr>
              <w:pStyle w:val="16"/>
              <w:autoSpaceDE w:val="0"/>
              <w:autoSpaceDN w:val="0"/>
              <w:spacing w:before="145"/>
              <w:ind w:left="88" w:right="243"/>
              <w:jc w:val="center"/>
              <w:rPr>
                <w:rFonts w:ascii="宋体" w:hAnsi="宋体" w:cs="宋体"/>
                <w:b/>
                <w:sz w:val="21"/>
                <w:szCs w:val="21"/>
              </w:rPr>
            </w:pPr>
            <w:r>
              <w:rPr>
                <w:rFonts w:hint="eastAsia" w:ascii="宋体" w:hAnsi="宋体" w:cs="宋体"/>
                <w:b/>
                <w:kern w:val="0"/>
                <w:sz w:val="21"/>
                <w:szCs w:val="21"/>
                <w:lang w:bidi="ar"/>
              </w:rPr>
              <w:t>序号</w:t>
            </w:r>
          </w:p>
        </w:tc>
        <w:tc>
          <w:tcPr>
            <w:tcW w:w="2783" w:type="dxa"/>
            <w:tcBorders>
              <w:top w:val="single" w:color="000000" w:sz="4" w:space="0"/>
              <w:left w:val="single" w:color="000000" w:sz="4" w:space="0"/>
              <w:bottom w:val="single" w:color="000000" w:sz="4" w:space="0"/>
              <w:right w:val="single" w:color="000000" w:sz="4" w:space="0"/>
            </w:tcBorders>
            <w:shd w:val="clear" w:color="auto" w:fill="F3F3F3"/>
          </w:tcPr>
          <w:p>
            <w:pPr>
              <w:pStyle w:val="16"/>
              <w:autoSpaceDE w:val="0"/>
              <w:autoSpaceDN w:val="0"/>
              <w:spacing w:before="145"/>
              <w:ind w:left="8"/>
              <w:jc w:val="center"/>
              <w:rPr>
                <w:rFonts w:ascii="宋体" w:hAnsi="宋体" w:cs="宋体"/>
                <w:b/>
                <w:sz w:val="21"/>
                <w:szCs w:val="21"/>
              </w:rPr>
            </w:pPr>
            <w:r>
              <w:rPr>
                <w:rFonts w:hint="eastAsia" w:ascii="宋体" w:hAnsi="宋体" w:cs="宋体"/>
                <w:b/>
                <w:kern w:val="0"/>
                <w:sz w:val="21"/>
                <w:szCs w:val="21"/>
                <w:lang w:bidi="ar"/>
              </w:rPr>
              <w:t>拟定时间安排</w:t>
            </w:r>
          </w:p>
        </w:tc>
        <w:tc>
          <w:tcPr>
            <w:tcW w:w="3314" w:type="dxa"/>
            <w:tcBorders>
              <w:top w:val="single" w:color="000000" w:sz="4" w:space="0"/>
              <w:left w:val="single" w:color="000000" w:sz="4" w:space="0"/>
              <w:bottom w:val="single" w:color="000000" w:sz="4" w:space="0"/>
              <w:right w:val="single" w:color="000000" w:sz="4" w:space="0"/>
            </w:tcBorders>
            <w:shd w:val="clear" w:color="auto" w:fill="F3F3F3"/>
          </w:tcPr>
          <w:p>
            <w:pPr>
              <w:pStyle w:val="16"/>
              <w:autoSpaceDE w:val="0"/>
              <w:autoSpaceDN w:val="0"/>
              <w:spacing w:before="145"/>
              <w:ind w:left="686" w:right="681"/>
              <w:jc w:val="center"/>
              <w:rPr>
                <w:rFonts w:ascii="宋体" w:hAnsi="宋体" w:cs="宋体"/>
                <w:b/>
                <w:sz w:val="21"/>
                <w:szCs w:val="21"/>
              </w:rPr>
            </w:pPr>
            <w:r>
              <w:rPr>
                <w:rFonts w:hint="eastAsia" w:ascii="宋体" w:hAnsi="宋体" w:cs="宋体"/>
                <w:b/>
                <w:kern w:val="0"/>
                <w:sz w:val="21"/>
                <w:szCs w:val="21"/>
                <w:lang w:bidi="ar"/>
              </w:rPr>
              <w:t>计划完成的工作内容</w:t>
            </w:r>
          </w:p>
        </w:tc>
        <w:tc>
          <w:tcPr>
            <w:tcW w:w="2668" w:type="dxa"/>
            <w:tcBorders>
              <w:top w:val="single" w:color="000000" w:sz="4" w:space="0"/>
              <w:left w:val="single" w:color="000000" w:sz="4" w:space="0"/>
              <w:bottom w:val="single" w:color="000000" w:sz="4" w:space="0"/>
              <w:right w:val="single" w:color="000000" w:sz="4" w:space="0"/>
            </w:tcBorders>
            <w:shd w:val="clear" w:color="auto" w:fill="F3F3F3"/>
          </w:tcPr>
          <w:p>
            <w:pPr>
              <w:pStyle w:val="16"/>
              <w:autoSpaceDE w:val="0"/>
              <w:autoSpaceDN w:val="0"/>
              <w:spacing w:before="145"/>
              <w:ind w:left="488"/>
              <w:jc w:val="left"/>
              <w:rPr>
                <w:rFonts w:ascii="宋体" w:hAnsi="宋体" w:cs="宋体"/>
                <w:b/>
                <w:sz w:val="21"/>
                <w:szCs w:val="21"/>
              </w:rPr>
            </w:pPr>
            <w:r>
              <w:rPr>
                <w:rFonts w:hint="eastAsia" w:ascii="宋体" w:hAnsi="宋体" w:cs="宋体"/>
                <w:b/>
                <w:kern w:val="0"/>
                <w:sz w:val="21"/>
                <w:szCs w:val="21"/>
                <w:lang w:bidi="ar"/>
              </w:rPr>
              <w:t>实施方建议或要求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08"/>
              <w:ind w:right="245"/>
              <w:jc w:val="center"/>
              <w:rPr>
                <w:rFonts w:ascii="宋体" w:hAnsi="宋体" w:cs="宋体"/>
                <w:sz w:val="21"/>
                <w:szCs w:val="21"/>
              </w:rPr>
            </w:pPr>
            <w:r>
              <w:rPr>
                <w:rFonts w:ascii="宋体" w:hAnsi="宋体" w:cs="宋体"/>
                <w:kern w:val="0"/>
                <w:sz w:val="21"/>
                <w:szCs w:val="21"/>
                <w:lang w:bidi="ar"/>
              </w:rPr>
              <w:t>1</w:t>
            </w:r>
          </w:p>
        </w:tc>
        <w:tc>
          <w:tcPr>
            <w:tcW w:w="2783" w:type="dxa"/>
            <w:tcBorders>
              <w:top w:val="single" w:color="000000" w:sz="4" w:space="0"/>
              <w:left w:val="single" w:color="000000" w:sz="4" w:space="0"/>
              <w:bottom w:val="single" w:color="000000" w:sz="4" w:space="0"/>
              <w:right w:val="single" w:color="000000" w:sz="4" w:space="0"/>
            </w:tcBorders>
            <w:shd w:val="clear" w:color="auto" w:fill="auto"/>
          </w:tcPr>
          <w:p>
            <w:pPr>
              <w:pStyle w:val="16"/>
              <w:tabs>
                <w:tab w:val="left" w:pos="642"/>
                <w:tab w:val="left" w:pos="1063"/>
                <w:tab w:val="left" w:pos="1588"/>
              </w:tabs>
              <w:autoSpaceDE w:val="0"/>
              <w:autoSpaceDN w:val="0"/>
              <w:spacing w:before="63"/>
              <w:ind w:left="11"/>
              <w:jc w:val="center"/>
              <w:rPr>
                <w:rFonts w:ascii="宋体" w:hAnsi="宋体" w:cs="宋体"/>
                <w:sz w:val="21"/>
                <w:szCs w:val="21"/>
              </w:rPr>
            </w:pPr>
            <w:r>
              <w:rPr>
                <w:rFonts w:hint="eastAsia" w:ascii="宋体" w:hAnsi="宋体" w:cs="宋体"/>
                <w:kern w:val="0"/>
                <w:sz w:val="21"/>
                <w:szCs w:val="21"/>
                <w:lang w:bidi="ar"/>
              </w:rPr>
              <w:t>拟定</w:t>
            </w:r>
            <w:r>
              <w:rPr>
                <w:rFonts w:ascii="宋体" w:hAnsi="宋体" w:cs="宋体"/>
                <w:kern w:val="0"/>
                <w:sz w:val="21"/>
                <w:szCs w:val="21"/>
                <w:lang w:bidi="ar"/>
              </w:rPr>
              <w:tab/>
            </w:r>
            <w:r>
              <w:rPr>
                <w:rFonts w:hint="eastAsia" w:ascii="宋体" w:hAnsi="宋体" w:cs="宋体"/>
                <w:kern w:val="0"/>
                <w:sz w:val="21"/>
                <w:szCs w:val="21"/>
                <w:lang w:bidi="ar"/>
              </w:rPr>
              <w:t>年</w:t>
            </w:r>
            <w:r>
              <w:rPr>
                <w:rFonts w:ascii="宋体" w:hAnsi="宋体" w:cs="宋体"/>
                <w:kern w:val="0"/>
                <w:sz w:val="21"/>
                <w:szCs w:val="21"/>
                <w:lang w:bidi="ar"/>
              </w:rPr>
              <w:tab/>
            </w:r>
            <w:r>
              <w:rPr>
                <w:rFonts w:hint="eastAsia" w:ascii="宋体" w:hAnsi="宋体" w:cs="宋体"/>
                <w:kern w:val="0"/>
                <w:sz w:val="21"/>
                <w:szCs w:val="21"/>
                <w:lang w:bidi="ar"/>
              </w:rPr>
              <w:t>月</w:t>
            </w:r>
            <w:r>
              <w:rPr>
                <w:rFonts w:ascii="宋体" w:hAnsi="宋体" w:cs="宋体"/>
                <w:kern w:val="0"/>
                <w:sz w:val="21"/>
                <w:szCs w:val="21"/>
                <w:lang w:bidi="ar"/>
              </w:rPr>
              <w:tab/>
            </w:r>
            <w:r>
              <w:rPr>
                <w:rFonts w:hint="eastAsia" w:ascii="宋体" w:hAnsi="宋体" w:cs="宋体"/>
                <w:kern w:val="0"/>
                <w:sz w:val="21"/>
                <w:szCs w:val="21"/>
                <w:lang w:bidi="ar"/>
              </w:rPr>
              <w:t>日</w:t>
            </w:r>
          </w:p>
        </w:tc>
        <w:tc>
          <w:tcPr>
            <w:tcW w:w="331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63"/>
              <w:ind w:left="686" w:right="681"/>
              <w:jc w:val="center"/>
              <w:rPr>
                <w:rFonts w:ascii="宋体" w:hAnsi="宋体" w:cs="宋体"/>
                <w:sz w:val="21"/>
                <w:szCs w:val="21"/>
              </w:rPr>
            </w:pPr>
            <w:r>
              <w:rPr>
                <w:rFonts w:hint="eastAsia" w:ascii="宋体" w:hAnsi="宋体" w:cs="宋体"/>
                <w:kern w:val="0"/>
                <w:sz w:val="21"/>
                <w:szCs w:val="21"/>
                <w:lang w:bidi="ar"/>
              </w:rPr>
              <w:t>签订合同并生效</w:t>
            </w:r>
          </w:p>
        </w:tc>
        <w:tc>
          <w:tcPr>
            <w:tcW w:w="266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08"/>
              <w:ind w:right="245"/>
              <w:jc w:val="center"/>
              <w:rPr>
                <w:rFonts w:ascii="宋体" w:hAnsi="宋体" w:cs="宋体"/>
                <w:sz w:val="21"/>
                <w:szCs w:val="21"/>
              </w:rPr>
            </w:pPr>
            <w:r>
              <w:rPr>
                <w:rFonts w:ascii="宋体" w:hAnsi="宋体" w:cs="宋体"/>
                <w:kern w:val="0"/>
                <w:sz w:val="21"/>
                <w:szCs w:val="21"/>
                <w:lang w:bidi="ar"/>
              </w:rPr>
              <w:t>2</w:t>
            </w:r>
          </w:p>
        </w:tc>
        <w:tc>
          <w:tcPr>
            <w:tcW w:w="2783" w:type="dxa"/>
            <w:tcBorders>
              <w:top w:val="single" w:color="000000" w:sz="4" w:space="0"/>
              <w:left w:val="single" w:color="000000" w:sz="4" w:space="0"/>
              <w:bottom w:val="single" w:color="000000" w:sz="4" w:space="0"/>
              <w:right w:val="single" w:color="000000" w:sz="4" w:space="0"/>
            </w:tcBorders>
            <w:shd w:val="clear" w:color="auto" w:fill="auto"/>
          </w:tcPr>
          <w:p>
            <w:pPr>
              <w:pStyle w:val="16"/>
              <w:tabs>
                <w:tab w:val="left" w:pos="534"/>
                <w:tab w:val="left" w:pos="1271"/>
                <w:tab w:val="left" w:pos="1795"/>
              </w:tabs>
              <w:autoSpaceDE w:val="0"/>
              <w:autoSpaceDN w:val="0"/>
              <w:spacing w:before="63"/>
              <w:ind w:left="9"/>
              <w:jc w:val="center"/>
              <w:rPr>
                <w:rFonts w:ascii="宋体" w:hAnsi="宋体" w:cs="宋体"/>
                <w:sz w:val="21"/>
                <w:szCs w:val="21"/>
              </w:rPr>
            </w:pPr>
            <w:r>
              <w:rPr>
                <w:rFonts w:hint="eastAsia" w:ascii="宋体" w:hAnsi="宋体" w:cs="宋体"/>
                <w:kern w:val="0"/>
                <w:sz w:val="21"/>
                <w:szCs w:val="21"/>
                <w:lang w:bidi="ar"/>
              </w:rPr>
              <w:t>月</w:t>
            </w:r>
            <w:r>
              <w:rPr>
                <w:rFonts w:ascii="宋体" w:hAnsi="宋体" w:cs="宋体"/>
                <w:kern w:val="0"/>
                <w:sz w:val="21"/>
                <w:szCs w:val="21"/>
                <w:lang w:bidi="ar"/>
              </w:rPr>
              <w:tab/>
            </w:r>
            <w:r>
              <w:rPr>
                <w:rFonts w:hint="eastAsia" w:ascii="宋体" w:hAnsi="宋体" w:cs="宋体"/>
                <w:kern w:val="0"/>
                <w:sz w:val="21"/>
                <w:szCs w:val="21"/>
                <w:lang w:bidi="ar"/>
              </w:rPr>
              <w:t>日—</w:t>
            </w:r>
            <w:r>
              <w:rPr>
                <w:rFonts w:ascii="宋体" w:hAnsi="宋体" w:cs="宋体"/>
                <w:kern w:val="0"/>
                <w:sz w:val="21"/>
                <w:szCs w:val="21"/>
                <w:lang w:bidi="ar"/>
              </w:rPr>
              <w:tab/>
            </w:r>
            <w:r>
              <w:rPr>
                <w:rFonts w:hint="eastAsia" w:ascii="宋体" w:hAnsi="宋体" w:cs="宋体"/>
                <w:kern w:val="0"/>
                <w:sz w:val="21"/>
                <w:szCs w:val="21"/>
                <w:lang w:bidi="ar"/>
              </w:rPr>
              <w:t>月</w:t>
            </w:r>
            <w:r>
              <w:rPr>
                <w:rFonts w:ascii="宋体" w:hAnsi="宋体" w:cs="宋体"/>
                <w:kern w:val="0"/>
                <w:sz w:val="21"/>
                <w:szCs w:val="21"/>
                <w:lang w:bidi="ar"/>
              </w:rPr>
              <w:tab/>
            </w:r>
            <w:r>
              <w:rPr>
                <w:rFonts w:hint="eastAsia" w:ascii="宋体" w:hAnsi="宋体" w:cs="宋体"/>
                <w:kern w:val="0"/>
                <w:sz w:val="21"/>
                <w:szCs w:val="21"/>
                <w:lang w:bidi="ar"/>
              </w:rPr>
              <w:t>日</w:t>
            </w:r>
          </w:p>
        </w:tc>
        <w:tc>
          <w:tcPr>
            <w:tcW w:w="331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08"/>
              <w:ind w:right="245"/>
              <w:jc w:val="center"/>
              <w:rPr>
                <w:rFonts w:ascii="宋体" w:hAnsi="宋体" w:cs="宋体"/>
                <w:sz w:val="21"/>
                <w:szCs w:val="21"/>
              </w:rPr>
            </w:pPr>
            <w:r>
              <w:rPr>
                <w:rFonts w:ascii="宋体" w:hAnsi="宋体" w:cs="宋体"/>
                <w:kern w:val="0"/>
                <w:sz w:val="21"/>
                <w:szCs w:val="21"/>
                <w:lang w:bidi="ar"/>
              </w:rPr>
              <w:t>3</w:t>
            </w:r>
          </w:p>
        </w:tc>
        <w:tc>
          <w:tcPr>
            <w:tcW w:w="2783" w:type="dxa"/>
            <w:tcBorders>
              <w:top w:val="single" w:color="000000" w:sz="4" w:space="0"/>
              <w:left w:val="single" w:color="000000" w:sz="4" w:space="0"/>
              <w:bottom w:val="single" w:color="000000" w:sz="4" w:space="0"/>
              <w:right w:val="single" w:color="000000" w:sz="4" w:space="0"/>
            </w:tcBorders>
            <w:shd w:val="clear" w:color="auto" w:fill="auto"/>
          </w:tcPr>
          <w:p>
            <w:pPr>
              <w:pStyle w:val="16"/>
              <w:tabs>
                <w:tab w:val="left" w:pos="534"/>
                <w:tab w:val="left" w:pos="1271"/>
                <w:tab w:val="left" w:pos="1795"/>
              </w:tabs>
              <w:autoSpaceDE w:val="0"/>
              <w:autoSpaceDN w:val="0"/>
              <w:spacing w:before="66"/>
              <w:ind w:left="9"/>
              <w:jc w:val="center"/>
              <w:rPr>
                <w:rFonts w:ascii="宋体" w:hAnsi="宋体" w:cs="宋体"/>
                <w:sz w:val="21"/>
                <w:szCs w:val="21"/>
              </w:rPr>
            </w:pPr>
            <w:r>
              <w:rPr>
                <w:rFonts w:hint="eastAsia" w:ascii="宋体" w:hAnsi="宋体" w:cs="宋体"/>
                <w:kern w:val="0"/>
                <w:sz w:val="21"/>
                <w:szCs w:val="21"/>
                <w:lang w:bidi="ar"/>
              </w:rPr>
              <w:t>月</w:t>
            </w:r>
            <w:r>
              <w:rPr>
                <w:rFonts w:ascii="宋体" w:hAnsi="宋体" w:cs="宋体"/>
                <w:kern w:val="0"/>
                <w:sz w:val="21"/>
                <w:szCs w:val="21"/>
                <w:lang w:bidi="ar"/>
              </w:rPr>
              <w:tab/>
            </w:r>
            <w:r>
              <w:rPr>
                <w:rFonts w:hint="eastAsia" w:ascii="宋体" w:hAnsi="宋体" w:cs="宋体"/>
                <w:kern w:val="0"/>
                <w:sz w:val="21"/>
                <w:szCs w:val="21"/>
                <w:lang w:bidi="ar"/>
              </w:rPr>
              <w:t>日—</w:t>
            </w:r>
            <w:r>
              <w:rPr>
                <w:rFonts w:ascii="宋体" w:hAnsi="宋体" w:cs="宋体"/>
                <w:kern w:val="0"/>
                <w:sz w:val="21"/>
                <w:szCs w:val="21"/>
                <w:lang w:bidi="ar"/>
              </w:rPr>
              <w:tab/>
            </w:r>
            <w:r>
              <w:rPr>
                <w:rFonts w:hint="eastAsia" w:ascii="宋体" w:hAnsi="宋体" w:cs="宋体"/>
                <w:kern w:val="0"/>
                <w:sz w:val="21"/>
                <w:szCs w:val="21"/>
                <w:lang w:bidi="ar"/>
              </w:rPr>
              <w:t>月</w:t>
            </w:r>
            <w:r>
              <w:rPr>
                <w:rFonts w:ascii="宋体" w:hAnsi="宋体" w:cs="宋体"/>
                <w:kern w:val="0"/>
                <w:sz w:val="21"/>
                <w:szCs w:val="21"/>
                <w:lang w:bidi="ar"/>
              </w:rPr>
              <w:tab/>
            </w:r>
            <w:r>
              <w:rPr>
                <w:rFonts w:hint="eastAsia" w:ascii="宋体" w:hAnsi="宋体" w:cs="宋体"/>
                <w:kern w:val="0"/>
                <w:sz w:val="21"/>
                <w:szCs w:val="21"/>
                <w:lang w:bidi="ar"/>
              </w:rPr>
              <w:t>日</w:t>
            </w:r>
          </w:p>
        </w:tc>
        <w:tc>
          <w:tcPr>
            <w:tcW w:w="331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08"/>
              <w:ind w:right="245"/>
              <w:jc w:val="center"/>
              <w:rPr>
                <w:rFonts w:ascii="宋体" w:hAnsi="宋体" w:cs="宋体"/>
                <w:sz w:val="21"/>
                <w:szCs w:val="21"/>
              </w:rPr>
            </w:pPr>
            <w:r>
              <w:rPr>
                <w:rFonts w:ascii="宋体" w:hAnsi="宋体" w:cs="宋体"/>
                <w:kern w:val="0"/>
                <w:sz w:val="21"/>
                <w:szCs w:val="21"/>
                <w:lang w:bidi="ar"/>
              </w:rPr>
              <w:t>4</w:t>
            </w:r>
          </w:p>
        </w:tc>
        <w:tc>
          <w:tcPr>
            <w:tcW w:w="2783" w:type="dxa"/>
            <w:tcBorders>
              <w:top w:val="single" w:color="000000" w:sz="4" w:space="0"/>
              <w:left w:val="single" w:color="000000" w:sz="4" w:space="0"/>
              <w:bottom w:val="single" w:color="000000" w:sz="4" w:space="0"/>
              <w:right w:val="single" w:color="000000" w:sz="4" w:space="0"/>
            </w:tcBorders>
            <w:shd w:val="clear" w:color="auto" w:fill="auto"/>
          </w:tcPr>
          <w:p>
            <w:pPr>
              <w:pStyle w:val="16"/>
              <w:tabs>
                <w:tab w:val="left" w:pos="534"/>
                <w:tab w:val="left" w:pos="1271"/>
                <w:tab w:val="left" w:pos="1795"/>
              </w:tabs>
              <w:autoSpaceDE w:val="0"/>
              <w:autoSpaceDN w:val="0"/>
              <w:spacing w:before="63"/>
              <w:ind w:left="9"/>
              <w:jc w:val="center"/>
              <w:rPr>
                <w:rFonts w:ascii="宋体" w:hAnsi="宋体" w:cs="宋体"/>
                <w:sz w:val="21"/>
                <w:szCs w:val="21"/>
              </w:rPr>
            </w:pPr>
            <w:r>
              <w:rPr>
                <w:rFonts w:hint="eastAsia" w:ascii="宋体" w:hAnsi="宋体" w:cs="宋体"/>
                <w:kern w:val="0"/>
                <w:sz w:val="21"/>
                <w:szCs w:val="21"/>
                <w:lang w:bidi="ar"/>
              </w:rPr>
              <w:t>月</w:t>
            </w:r>
            <w:r>
              <w:rPr>
                <w:rFonts w:ascii="宋体" w:hAnsi="宋体" w:cs="宋体"/>
                <w:kern w:val="0"/>
                <w:sz w:val="21"/>
                <w:szCs w:val="21"/>
                <w:lang w:bidi="ar"/>
              </w:rPr>
              <w:tab/>
            </w:r>
            <w:r>
              <w:rPr>
                <w:rFonts w:hint="eastAsia" w:ascii="宋体" w:hAnsi="宋体" w:cs="宋体"/>
                <w:kern w:val="0"/>
                <w:sz w:val="21"/>
                <w:szCs w:val="21"/>
                <w:lang w:bidi="ar"/>
              </w:rPr>
              <w:t>日—</w:t>
            </w:r>
            <w:r>
              <w:rPr>
                <w:rFonts w:ascii="宋体" w:hAnsi="宋体" w:cs="宋体"/>
                <w:kern w:val="0"/>
                <w:sz w:val="21"/>
                <w:szCs w:val="21"/>
                <w:lang w:bidi="ar"/>
              </w:rPr>
              <w:tab/>
            </w:r>
            <w:r>
              <w:rPr>
                <w:rFonts w:hint="eastAsia" w:ascii="宋体" w:hAnsi="宋体" w:cs="宋体"/>
                <w:kern w:val="0"/>
                <w:sz w:val="21"/>
                <w:szCs w:val="21"/>
                <w:lang w:bidi="ar"/>
              </w:rPr>
              <w:t>月</w:t>
            </w:r>
            <w:r>
              <w:rPr>
                <w:rFonts w:ascii="宋体" w:hAnsi="宋体" w:cs="宋体"/>
                <w:kern w:val="0"/>
                <w:sz w:val="21"/>
                <w:szCs w:val="21"/>
                <w:lang w:bidi="ar"/>
              </w:rPr>
              <w:tab/>
            </w:r>
            <w:r>
              <w:rPr>
                <w:rFonts w:hint="eastAsia" w:ascii="宋体" w:hAnsi="宋体" w:cs="宋体"/>
                <w:kern w:val="0"/>
                <w:sz w:val="21"/>
                <w:szCs w:val="21"/>
                <w:lang w:bidi="ar"/>
              </w:rPr>
              <w:t>日</w:t>
            </w:r>
          </w:p>
        </w:tc>
        <w:tc>
          <w:tcPr>
            <w:tcW w:w="331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63"/>
              <w:ind w:left="686" w:right="681"/>
              <w:jc w:val="center"/>
              <w:rPr>
                <w:rFonts w:ascii="宋体" w:hAnsi="宋体" w:cs="宋体"/>
                <w:sz w:val="21"/>
                <w:szCs w:val="21"/>
              </w:rPr>
            </w:pPr>
            <w:r>
              <w:rPr>
                <w:rFonts w:hint="eastAsia" w:ascii="宋体" w:hAnsi="宋体" w:cs="宋体"/>
                <w:kern w:val="0"/>
                <w:sz w:val="21"/>
                <w:szCs w:val="21"/>
                <w:lang w:bidi="ar"/>
              </w:rPr>
              <w:t>质保期</w:t>
            </w:r>
          </w:p>
        </w:tc>
        <w:tc>
          <w:tcPr>
            <w:tcW w:w="266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bl>
    <w:p>
      <w:pPr>
        <w:pStyle w:val="16"/>
        <w:autoSpaceDE w:val="0"/>
        <w:autoSpaceDN w:val="0"/>
        <w:spacing w:before="2"/>
        <w:jc w:val="left"/>
        <w:rPr>
          <w:rFonts w:ascii="宋体" w:hAnsi="宋体" w:cs="宋体"/>
          <w:b/>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pStyle w:val="16"/>
        <w:autoSpaceDE w:val="0"/>
        <w:autoSpaceDN w:val="0"/>
        <w:spacing w:before="120" w:beforeLines="50" w:after="120" w:afterLines="50"/>
        <w:jc w:val="left"/>
        <w:rPr>
          <w:rFonts w:ascii="宋体" w:hAnsi="宋体" w:cs="宋体"/>
          <w:sz w:val="21"/>
          <w:szCs w:val="21"/>
        </w:rPr>
      </w:pPr>
      <w:r>
        <w:rPr>
          <w:rFonts w:hint="eastAsia" w:ascii="宋体" w:hAnsi="宋体" w:cs="宋体"/>
          <w:kern w:val="0"/>
          <w:sz w:val="21"/>
          <w:szCs w:val="21"/>
          <w:lang w:bidi="ar"/>
        </w:rPr>
        <w:t>日期：</w:t>
      </w:r>
      <w:r>
        <w:rPr>
          <w:rFonts w:ascii="宋体" w:hAnsi="宋体" w:cs="宋体"/>
          <w:kern w:val="0"/>
          <w:sz w:val="21"/>
          <w:szCs w:val="21"/>
          <w:lang w:bidi="ar"/>
        </w:rPr>
        <w:tab/>
      </w:r>
      <w:r>
        <w:rPr>
          <w:rFonts w:hint="eastAsia" w:ascii="宋体" w:hAnsi="宋体" w:cs="宋体"/>
          <w:kern w:val="0"/>
          <w:sz w:val="21"/>
          <w:szCs w:val="21"/>
          <w:lang w:bidi="ar"/>
        </w:rPr>
        <w:t>年</w:t>
      </w:r>
      <w:r>
        <w:rPr>
          <w:rFonts w:ascii="宋体" w:hAnsi="宋体" w:cs="宋体"/>
          <w:kern w:val="0"/>
          <w:sz w:val="21"/>
          <w:szCs w:val="21"/>
          <w:lang w:bidi="ar"/>
        </w:rPr>
        <w:t xml:space="preserve">    </w:t>
      </w:r>
      <w:r>
        <w:rPr>
          <w:rFonts w:ascii="宋体" w:hAnsi="宋体" w:cs="宋体"/>
          <w:kern w:val="0"/>
          <w:sz w:val="21"/>
          <w:szCs w:val="21"/>
          <w:lang w:bidi="ar"/>
        </w:rPr>
        <w:tab/>
      </w:r>
      <w:r>
        <w:rPr>
          <w:rFonts w:hint="eastAsia" w:ascii="宋体" w:hAnsi="宋体" w:cs="宋体"/>
          <w:kern w:val="0"/>
          <w:sz w:val="21"/>
          <w:szCs w:val="21"/>
          <w:lang w:bidi="ar"/>
        </w:rPr>
        <w:t>月</w:t>
      </w:r>
      <w:r>
        <w:rPr>
          <w:rFonts w:ascii="宋体" w:hAnsi="宋体" w:cs="宋体"/>
          <w:kern w:val="0"/>
          <w:sz w:val="21"/>
          <w:szCs w:val="21"/>
          <w:lang w:bidi="ar"/>
        </w:rPr>
        <w:tab/>
      </w:r>
      <w:r>
        <w:rPr>
          <w:rFonts w:ascii="宋体" w:hAnsi="宋体" w:cs="宋体"/>
          <w:kern w:val="0"/>
          <w:sz w:val="21"/>
          <w:szCs w:val="21"/>
          <w:lang w:bidi="ar"/>
        </w:rPr>
        <w:t xml:space="preserve">   日</w:t>
      </w:r>
    </w:p>
    <w:p>
      <w:pPr>
        <w:pStyle w:val="16"/>
        <w:autoSpaceDE w:val="0"/>
        <w:autoSpaceDN w:val="0"/>
        <w:jc w:val="left"/>
        <w:rPr>
          <w:rFonts w:ascii="宋体" w:hAnsi="宋体" w:cs="宋体"/>
          <w:sz w:val="21"/>
          <w:szCs w:val="21"/>
        </w:rPr>
      </w:pPr>
    </w:p>
    <w:p>
      <w:pPr>
        <w:pStyle w:val="16"/>
        <w:autoSpaceDE w:val="0"/>
        <w:autoSpaceDN w:val="0"/>
        <w:spacing w:before="4"/>
        <w:jc w:val="left"/>
        <w:rPr>
          <w:rFonts w:ascii="宋体" w:hAnsi="宋体" w:cs="宋体"/>
          <w:sz w:val="21"/>
          <w:szCs w:val="21"/>
        </w:rPr>
      </w:pPr>
    </w:p>
    <w:p>
      <w:pPr>
        <w:pStyle w:val="16"/>
        <w:tabs>
          <w:tab w:val="left" w:pos="888"/>
        </w:tabs>
        <w:autoSpaceDE w:val="0"/>
        <w:autoSpaceDN w:val="0"/>
        <w:spacing w:line="398" w:lineRule="auto"/>
        <w:ind w:right="6958"/>
        <w:jc w:val="left"/>
        <w:rPr>
          <w:rFonts w:ascii="宋体" w:hAnsi="宋体" w:cs="宋体"/>
          <w:b/>
          <w:spacing w:val="-4"/>
          <w:sz w:val="21"/>
          <w:szCs w:val="21"/>
        </w:rPr>
      </w:pPr>
      <w:r>
        <w:rPr>
          <w:rFonts w:ascii="宋体" w:hAnsi="宋体" w:cs="宋体"/>
          <w:b/>
          <w:spacing w:val="-4"/>
          <w:kern w:val="0"/>
          <w:sz w:val="21"/>
          <w:szCs w:val="21"/>
          <w:lang w:bidi="ar"/>
        </w:rPr>
        <w:t>(</w:t>
      </w:r>
      <w:r>
        <w:rPr>
          <w:rFonts w:ascii="宋体" w:hAnsi="宋体" w:cs="宋体"/>
          <w:b/>
          <w:kern w:val="0"/>
          <w:sz w:val="21"/>
          <w:szCs w:val="21"/>
          <w:lang w:bidi="ar"/>
        </w:rPr>
        <w:t>5)其它重要事项说明及承诺</w:t>
      </w:r>
    </w:p>
    <w:p>
      <w:pPr>
        <w:pStyle w:val="16"/>
        <w:tabs>
          <w:tab w:val="left" w:pos="888"/>
        </w:tabs>
        <w:autoSpaceDE w:val="0"/>
        <w:autoSpaceDN w:val="0"/>
        <w:spacing w:line="398" w:lineRule="auto"/>
        <w:ind w:left="358" w:right="6958" w:firstLine="206" w:firstLineChars="100"/>
        <w:jc w:val="left"/>
        <w:rPr>
          <w:rFonts w:ascii="宋体" w:hAnsi="宋体" w:cs="宋体"/>
          <w:sz w:val="21"/>
          <w:szCs w:val="21"/>
        </w:rPr>
      </w:pPr>
      <w:r>
        <w:rPr>
          <w:rFonts w:ascii="宋体" w:hAnsi="宋体" w:cs="宋体"/>
          <w:spacing w:val="-2"/>
          <w:kern w:val="0"/>
          <w:sz w:val="21"/>
          <w:szCs w:val="21"/>
          <w:lang w:bidi="ar"/>
        </w:rPr>
        <w:t>(请扼要叙述)</w:t>
      </w: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sectPr>
          <w:pgSz w:w="11910" w:h="16840"/>
          <w:pgMar w:top="1440" w:right="1080" w:bottom="1440" w:left="1080" w:header="945" w:footer="893" w:gutter="0"/>
          <w:cols w:space="720" w:num="1"/>
        </w:sectPr>
      </w:pPr>
    </w:p>
    <w:p>
      <w:pPr>
        <w:tabs>
          <w:tab w:val="left" w:pos="729"/>
        </w:tabs>
        <w:spacing w:before="60" w:beforeLines="25" w:after="60" w:afterLines="25" w:line="360" w:lineRule="auto"/>
        <w:outlineLvl w:val="1"/>
        <w:rPr>
          <w:b/>
          <w:sz w:val="21"/>
          <w:szCs w:val="21"/>
          <w:lang w:val="en-US"/>
        </w:rPr>
      </w:pPr>
      <w:bookmarkStart w:id="332" w:name="_Toc30186"/>
      <w:bookmarkStart w:id="333" w:name="_Toc3578_WPSOffice_Level3"/>
      <w:bookmarkStart w:id="334" w:name="_Toc12896"/>
      <w:r>
        <w:rPr>
          <w:b/>
          <w:sz w:val="21"/>
          <w:szCs w:val="21"/>
          <w:lang w:val="en-US" w:bidi="ar"/>
        </w:rPr>
        <w:t xml:space="preserve">3.2 </w:t>
      </w:r>
      <w:r>
        <w:rPr>
          <w:rFonts w:hint="eastAsia"/>
          <w:b/>
          <w:sz w:val="21"/>
          <w:szCs w:val="21"/>
          <w:lang w:val="en-US" w:bidi="ar"/>
        </w:rPr>
        <w:t>商务条款响应表</w:t>
      </w:r>
      <w:bookmarkEnd w:id="332"/>
      <w:bookmarkEnd w:id="333"/>
      <w:bookmarkEnd w:id="334"/>
    </w:p>
    <w:p>
      <w:pPr>
        <w:spacing w:after="60"/>
        <w:jc w:val="center"/>
        <w:rPr>
          <w:sz w:val="21"/>
          <w:szCs w:val="21"/>
        </w:rPr>
      </w:pPr>
      <w:r>
        <w:rPr>
          <w:rFonts w:hint="eastAsia"/>
          <w:b/>
          <w:sz w:val="21"/>
          <w:szCs w:val="21"/>
        </w:rPr>
        <w:t>（</w:t>
      </w:r>
      <w:r>
        <w:rPr>
          <w:b/>
          <w:sz w:val="21"/>
          <w:szCs w:val="21"/>
        </w:rPr>
        <w:t>1）实质性条款（</w:t>
      </w:r>
      <w:r>
        <w:rPr>
          <w:rFonts w:hint="eastAsia"/>
          <w:b/>
          <w:sz w:val="21"/>
          <w:szCs w:val="21"/>
          <w:lang w:val="en-GB"/>
        </w:rPr>
        <w:t>“★”项</w:t>
      </w:r>
      <w:r>
        <w:rPr>
          <w:rFonts w:hint="eastAsia"/>
          <w:b/>
          <w:sz w:val="21"/>
          <w:szCs w:val="21"/>
        </w:rPr>
        <w:t>）响应表</w:t>
      </w:r>
    </w:p>
    <w:tbl>
      <w:tblPr>
        <w:tblStyle w:val="18"/>
        <w:tblW w:w="10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6063"/>
        <w:gridCol w:w="1629"/>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445" w:type="dxa"/>
            <w:vAlign w:val="center"/>
          </w:tcPr>
          <w:p>
            <w:pPr>
              <w:spacing w:before="5" w:after="60"/>
              <w:jc w:val="center"/>
              <w:rPr>
                <w:b/>
                <w:sz w:val="21"/>
                <w:szCs w:val="21"/>
              </w:rPr>
            </w:pPr>
            <w:r>
              <w:rPr>
                <w:rFonts w:hint="eastAsia"/>
                <w:b/>
                <w:sz w:val="21"/>
                <w:szCs w:val="21"/>
              </w:rPr>
              <w:t>序号</w:t>
            </w:r>
          </w:p>
        </w:tc>
        <w:tc>
          <w:tcPr>
            <w:tcW w:w="6063" w:type="dxa"/>
            <w:vAlign w:val="center"/>
          </w:tcPr>
          <w:p>
            <w:pPr>
              <w:spacing w:before="5" w:after="60"/>
              <w:jc w:val="center"/>
              <w:rPr>
                <w:b/>
                <w:sz w:val="21"/>
                <w:szCs w:val="21"/>
              </w:rPr>
            </w:pPr>
            <w:r>
              <w:rPr>
                <w:rFonts w:hint="eastAsia"/>
                <w:b/>
                <w:sz w:val="21"/>
                <w:szCs w:val="21"/>
                <w:lang w:val="en-US"/>
              </w:rPr>
              <w:t>磋商</w:t>
            </w:r>
            <w:r>
              <w:rPr>
                <w:rFonts w:hint="eastAsia"/>
                <w:b/>
                <w:sz w:val="21"/>
                <w:szCs w:val="21"/>
              </w:rPr>
              <w:t>要求</w:t>
            </w:r>
          </w:p>
        </w:tc>
        <w:tc>
          <w:tcPr>
            <w:tcW w:w="1629" w:type="dxa"/>
            <w:vAlign w:val="center"/>
          </w:tcPr>
          <w:p>
            <w:pPr>
              <w:spacing w:before="5" w:after="60"/>
              <w:jc w:val="center"/>
              <w:rPr>
                <w:b/>
                <w:sz w:val="21"/>
                <w:szCs w:val="21"/>
              </w:rPr>
            </w:pPr>
            <w:r>
              <w:rPr>
                <w:rFonts w:hint="eastAsia"/>
                <w:b/>
                <w:sz w:val="21"/>
                <w:szCs w:val="21"/>
                <w:lang w:val="en-US"/>
              </w:rPr>
              <w:t>供应商</w:t>
            </w:r>
            <w:r>
              <w:rPr>
                <w:rFonts w:hint="eastAsia"/>
                <w:b/>
                <w:sz w:val="21"/>
                <w:szCs w:val="21"/>
              </w:rPr>
              <w:t>实际</w:t>
            </w:r>
            <w:r>
              <w:rPr>
                <w:rFonts w:hint="eastAsia"/>
                <w:b/>
                <w:sz w:val="21"/>
                <w:szCs w:val="21"/>
                <w:lang w:val="en-US"/>
              </w:rPr>
              <w:t>响应</w:t>
            </w:r>
          </w:p>
        </w:tc>
        <w:tc>
          <w:tcPr>
            <w:tcW w:w="1889" w:type="dxa"/>
            <w:vAlign w:val="center"/>
          </w:tcPr>
          <w:p>
            <w:pPr>
              <w:spacing w:after="60"/>
              <w:jc w:val="center"/>
              <w:rPr>
                <w:b/>
                <w:bCs/>
                <w:sz w:val="21"/>
                <w:szCs w:val="21"/>
              </w:rPr>
            </w:pPr>
            <w:r>
              <w:rPr>
                <w:rFonts w:hint="eastAsia"/>
                <w:b/>
                <w:bCs/>
                <w:sz w:val="21"/>
                <w:szCs w:val="21"/>
              </w:rPr>
              <w:t>是否响应</w:t>
            </w:r>
          </w:p>
          <w:p>
            <w:pPr>
              <w:spacing w:before="5" w:after="60"/>
              <w:jc w:val="center"/>
              <w:rPr>
                <w:b/>
                <w:sz w:val="21"/>
                <w:szCs w:val="21"/>
              </w:rPr>
            </w:pPr>
            <w:r>
              <w:rPr>
                <w:rFonts w:hint="eastAsia"/>
                <w:b/>
                <w:bCs/>
                <w:sz w:val="21"/>
                <w:szCs w:val="21"/>
              </w:rPr>
              <w:t>（打</w:t>
            </w:r>
            <w:r>
              <w:rPr>
                <w:rFonts w:hint="eastAsia"/>
                <w:b/>
                <w:bCs/>
                <w:sz w:val="21"/>
                <w:szCs w:val="21"/>
                <w:lang w:val="en-GB"/>
              </w:rPr>
              <w:t>“√”或“×”</w:t>
            </w:r>
            <w:r>
              <w:rPr>
                <w:rFonts w:hint="eastAsia"/>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 w:type="dxa"/>
            <w:vAlign w:val="center"/>
          </w:tcPr>
          <w:p>
            <w:pPr>
              <w:spacing w:before="5" w:after="60"/>
              <w:jc w:val="center"/>
              <w:rPr>
                <w:bCs/>
                <w:sz w:val="21"/>
                <w:szCs w:val="21"/>
              </w:rPr>
            </w:pPr>
            <w:r>
              <w:rPr>
                <w:bCs/>
                <w:sz w:val="21"/>
                <w:szCs w:val="21"/>
              </w:rPr>
              <w:t>1</w:t>
            </w:r>
          </w:p>
        </w:tc>
        <w:tc>
          <w:tcPr>
            <w:tcW w:w="6063" w:type="dxa"/>
            <w:vAlign w:val="center"/>
          </w:tcPr>
          <w:p>
            <w:pPr>
              <w:spacing w:after="60" w:line="360" w:lineRule="auto"/>
              <w:ind w:firstLine="422" w:firstLineChars="200"/>
              <w:rPr>
                <w:b/>
                <w:bCs/>
                <w:sz w:val="21"/>
                <w:szCs w:val="21"/>
                <w:lang w:val="en-US"/>
              </w:rPr>
            </w:pPr>
            <w:r>
              <w:rPr>
                <w:rFonts w:hint="eastAsia"/>
                <w:b/>
                <w:bCs/>
                <w:sz w:val="21"/>
                <w:szCs w:val="21"/>
                <w:lang w:val="en-US"/>
              </w:rPr>
              <w:t>★（</w:t>
            </w:r>
            <w:r>
              <w:rPr>
                <w:b/>
                <w:bCs/>
                <w:sz w:val="21"/>
                <w:szCs w:val="21"/>
                <w:lang w:val="en-US"/>
              </w:rPr>
              <w:t>1）项目负责人要求</w:t>
            </w:r>
          </w:p>
          <w:p>
            <w:pPr>
              <w:spacing w:after="60" w:line="360" w:lineRule="auto"/>
              <w:ind w:firstLine="422" w:firstLineChars="200"/>
              <w:rPr>
                <w:b/>
                <w:bCs/>
                <w:sz w:val="21"/>
                <w:szCs w:val="21"/>
                <w:lang w:val="en-US"/>
              </w:rPr>
            </w:pPr>
            <w:r>
              <w:rPr>
                <w:b/>
                <w:bCs/>
                <w:sz w:val="21"/>
                <w:szCs w:val="21"/>
                <w:lang w:val="en-US"/>
              </w:rPr>
              <w:t>1）对拟派项目负责人的资格要求：</w:t>
            </w:r>
            <w:r>
              <w:rPr>
                <w:rFonts w:hint="eastAsia"/>
                <w:b/>
                <w:bCs/>
                <w:sz w:val="21"/>
                <w:szCs w:val="21"/>
                <w:lang w:val="en-US"/>
              </w:rPr>
              <w:t>须具有注册于供应商本单位的市政公用工程或市政专业二级（或以上级）注册建造师执业资格证书【根据广东省住房和城乡建设厅《广东省住房和城乡建设厅关于明确二级建造师注册执业有关问题的通知》（粤建市函〔</w:t>
            </w:r>
            <w:r>
              <w:rPr>
                <w:b/>
                <w:bCs/>
                <w:sz w:val="21"/>
                <w:szCs w:val="21"/>
                <w:lang w:val="en-US"/>
              </w:rPr>
              <w:t>2023</w:t>
            </w:r>
            <w:r>
              <w:rPr>
                <w:rFonts w:hint="eastAsia"/>
                <w:b/>
                <w:bCs/>
                <w:sz w:val="21"/>
                <w:szCs w:val="21"/>
                <w:lang w:val="en-US"/>
              </w:rPr>
              <w:t>〕</w:t>
            </w:r>
            <w:r>
              <w:rPr>
                <w:b/>
                <w:bCs/>
                <w:sz w:val="21"/>
                <w:szCs w:val="21"/>
                <w:lang w:val="en-US"/>
              </w:rPr>
              <w:t>469</w:t>
            </w:r>
            <w:r>
              <w:rPr>
                <w:rFonts w:hint="eastAsia"/>
                <w:b/>
                <w:bCs/>
                <w:sz w:val="21"/>
                <w:szCs w:val="21"/>
                <w:lang w:val="en-US"/>
              </w:rPr>
              <w:t>号），二级注册建造师可随注册企业在全国范围内执业。】，并持有有效的《安全生产考核合格证（</w:t>
            </w:r>
            <w:r>
              <w:rPr>
                <w:b/>
                <w:bCs/>
                <w:sz w:val="21"/>
                <w:szCs w:val="21"/>
                <w:lang w:val="en-US"/>
              </w:rPr>
              <w:t>B证）》（供应商可提供所在省份相关建筑施工企业管理人员安全生产考核信息系统的证书查询信息网页打印件或电子证照打印件）。</w:t>
            </w:r>
          </w:p>
          <w:p>
            <w:pPr>
              <w:spacing w:after="60" w:line="360" w:lineRule="auto"/>
              <w:ind w:firstLine="422" w:firstLineChars="200"/>
              <w:rPr>
                <w:b/>
                <w:bCs/>
                <w:sz w:val="21"/>
                <w:szCs w:val="21"/>
                <w:lang w:val="en-US"/>
              </w:rPr>
            </w:pPr>
            <w:r>
              <w:rPr>
                <w:b/>
                <w:bCs/>
                <w:sz w:val="21"/>
                <w:szCs w:val="21"/>
                <w:lang w:val="en-US"/>
              </w:rPr>
              <w:t>2）拟派驻项目负责人必须在</w:t>
            </w:r>
            <w:r>
              <w:rPr>
                <w:rFonts w:hint="eastAsia"/>
                <w:b/>
                <w:bCs/>
                <w:sz w:val="21"/>
                <w:szCs w:val="21"/>
                <w:lang w:val="en-US"/>
              </w:rPr>
              <w:t>佛山市建筑诚信评价体系管理平台登记的人员中选取，并且拟派项目负责人必须在资格审查当日未被锁定。省外进粤企业，拟派项目负责人须在“进粤企业和人员诚信信息登记平台”办理了登记手续。</w:t>
            </w:r>
          </w:p>
          <w:p>
            <w:pPr>
              <w:spacing w:after="60" w:line="360" w:lineRule="auto"/>
              <w:ind w:firstLine="422" w:firstLineChars="200"/>
              <w:rPr>
                <w:b/>
                <w:bCs/>
                <w:sz w:val="21"/>
                <w:szCs w:val="21"/>
                <w:lang w:val="en-US"/>
              </w:rPr>
            </w:pPr>
            <w:r>
              <w:rPr>
                <w:b/>
                <w:bCs/>
                <w:sz w:val="21"/>
                <w:szCs w:val="21"/>
                <w:lang w:val="en-US"/>
              </w:rPr>
              <w:t>3）需提供供应商近半年（扣除发布磋商公告当月往前顺推6个月即</w:t>
            </w:r>
            <w:r>
              <w:rPr>
                <w:rFonts w:hint="eastAsia"/>
                <w:b/>
                <w:bCs/>
                <w:sz w:val="21"/>
                <w:szCs w:val="21"/>
                <w:lang w:val="en-US"/>
              </w:rPr>
              <w:t>2023年</w:t>
            </w:r>
            <w:r>
              <w:rPr>
                <w:b/>
                <w:bCs/>
                <w:sz w:val="21"/>
                <w:szCs w:val="21"/>
                <w:lang w:val="en-US"/>
              </w:rPr>
              <w:t>8</w:t>
            </w:r>
            <w:r>
              <w:rPr>
                <w:rFonts w:hint="eastAsia"/>
                <w:b/>
                <w:bCs/>
                <w:sz w:val="21"/>
                <w:szCs w:val="21"/>
                <w:lang w:val="en-US"/>
              </w:rPr>
              <w:t>月-202</w:t>
            </w:r>
            <w:r>
              <w:rPr>
                <w:b/>
                <w:bCs/>
                <w:sz w:val="21"/>
                <w:szCs w:val="21"/>
                <w:lang w:val="en-US"/>
              </w:rPr>
              <w:t>4</w:t>
            </w:r>
            <w:r>
              <w:rPr>
                <w:rFonts w:hint="eastAsia"/>
                <w:b/>
                <w:bCs/>
                <w:sz w:val="21"/>
                <w:szCs w:val="21"/>
                <w:lang w:val="en-US"/>
              </w:rPr>
              <w:t>年1月</w:t>
            </w:r>
            <w:r>
              <w:rPr>
                <w:b/>
                <w:bCs/>
                <w:sz w:val="21"/>
                <w:szCs w:val="21"/>
                <w:lang w:val="en-US"/>
              </w:rPr>
              <w:t>）为拟派项目负责人缴纳社保资金的有效的社保证明材料。</w:t>
            </w:r>
          </w:p>
          <w:p>
            <w:pPr>
              <w:spacing w:after="60" w:line="360" w:lineRule="auto"/>
              <w:ind w:firstLine="422" w:firstLineChars="200"/>
              <w:rPr>
                <w:b/>
                <w:bCs/>
                <w:sz w:val="21"/>
                <w:szCs w:val="21"/>
              </w:rPr>
            </w:pPr>
            <w:r>
              <w:rPr>
                <w:b/>
                <w:bCs/>
                <w:sz w:val="21"/>
                <w:szCs w:val="21"/>
                <w:lang w:val="en-US"/>
              </w:rPr>
              <w:t>4）拟派项目负责人没有在其他在建项目中担任项目负责人一职（须提供承诺函，格式自拟）。</w:t>
            </w:r>
          </w:p>
        </w:tc>
        <w:tc>
          <w:tcPr>
            <w:tcW w:w="1629" w:type="dxa"/>
            <w:vAlign w:val="center"/>
          </w:tcPr>
          <w:p>
            <w:pPr>
              <w:spacing w:after="60"/>
              <w:jc w:val="center"/>
              <w:rPr>
                <w:sz w:val="21"/>
                <w:szCs w:val="21"/>
              </w:rPr>
            </w:pPr>
          </w:p>
        </w:tc>
        <w:tc>
          <w:tcPr>
            <w:tcW w:w="1889" w:type="dxa"/>
            <w:vAlign w:val="center"/>
          </w:tcPr>
          <w:p>
            <w:pPr>
              <w:spacing w:before="5" w:after="60"/>
              <w:jc w:val="center"/>
              <w:rPr>
                <w:b/>
                <w:sz w:val="21"/>
                <w:szCs w:val="21"/>
              </w:rPr>
            </w:pPr>
          </w:p>
        </w:tc>
      </w:tr>
    </w:tbl>
    <w:p>
      <w:pPr>
        <w:autoSpaceDE/>
        <w:autoSpaceDN/>
        <w:spacing w:after="5" w:line="360" w:lineRule="auto"/>
        <w:ind w:firstLine="422" w:firstLineChars="200"/>
        <w:rPr>
          <w:b/>
          <w:bCs/>
          <w:sz w:val="21"/>
          <w:szCs w:val="21"/>
        </w:rPr>
      </w:pPr>
      <w:r>
        <w:rPr>
          <w:rFonts w:hint="eastAsia"/>
          <w:b/>
          <w:bCs/>
          <w:sz w:val="21"/>
          <w:szCs w:val="21"/>
        </w:rPr>
        <w:t>注：</w:t>
      </w:r>
    </w:p>
    <w:p>
      <w:pPr>
        <w:autoSpaceDE/>
        <w:autoSpaceDN/>
        <w:spacing w:after="5" w:line="360" w:lineRule="auto"/>
        <w:ind w:firstLine="422" w:firstLineChars="200"/>
        <w:rPr>
          <w:b/>
          <w:bCs/>
          <w:sz w:val="21"/>
          <w:szCs w:val="21"/>
          <w:lang w:val="en-GB"/>
        </w:rPr>
      </w:pPr>
      <w:r>
        <w:rPr>
          <w:b/>
          <w:bCs/>
          <w:sz w:val="21"/>
          <w:szCs w:val="21"/>
        </w:rPr>
        <w:t>1.</w:t>
      </w:r>
      <w:r>
        <w:rPr>
          <w:rFonts w:hint="eastAsia"/>
          <w:b/>
          <w:bCs/>
          <w:sz w:val="21"/>
          <w:szCs w:val="21"/>
          <w:lang w:val="en-US"/>
        </w:rPr>
        <w:t>供应商</w:t>
      </w:r>
      <w:r>
        <w:rPr>
          <w:rFonts w:hint="eastAsia"/>
          <w:b/>
          <w:bCs/>
          <w:sz w:val="21"/>
          <w:szCs w:val="21"/>
        </w:rPr>
        <w:t>必须对应</w:t>
      </w:r>
      <w:r>
        <w:rPr>
          <w:rFonts w:hint="eastAsia"/>
          <w:b/>
          <w:bCs/>
          <w:sz w:val="21"/>
          <w:szCs w:val="21"/>
          <w:lang w:val="en-US"/>
        </w:rPr>
        <w:t>竞争性磋商文件</w:t>
      </w:r>
      <w:r>
        <w:rPr>
          <w:rFonts w:hint="eastAsia"/>
          <w:b/>
          <w:bCs/>
          <w:sz w:val="21"/>
          <w:szCs w:val="21"/>
        </w:rPr>
        <w:t>“第二部分</w:t>
      </w:r>
      <w:r>
        <w:rPr>
          <w:b/>
          <w:bCs/>
          <w:sz w:val="21"/>
          <w:szCs w:val="21"/>
        </w:rPr>
        <w:t xml:space="preserve"> </w:t>
      </w:r>
      <w:r>
        <w:rPr>
          <w:rFonts w:hint="eastAsia"/>
          <w:b/>
          <w:bCs/>
          <w:sz w:val="21"/>
          <w:szCs w:val="21"/>
        </w:rPr>
        <w:t>采购项目内容”带“★”项内容逐条响应。</w:t>
      </w:r>
      <w:r>
        <w:rPr>
          <w:rFonts w:hint="eastAsia"/>
          <w:b/>
          <w:bCs/>
          <w:sz w:val="21"/>
          <w:szCs w:val="21"/>
          <w:lang w:val="en-GB"/>
        </w:rPr>
        <w:t>如</w:t>
      </w:r>
      <w:r>
        <w:rPr>
          <w:rFonts w:hint="eastAsia"/>
          <w:b/>
          <w:bCs/>
          <w:sz w:val="21"/>
          <w:szCs w:val="21"/>
          <w:lang w:val="en-US"/>
        </w:rPr>
        <w:t>供应商</w:t>
      </w:r>
      <w:r>
        <w:rPr>
          <w:rFonts w:hint="eastAsia"/>
          <w:b/>
          <w:bCs/>
          <w:sz w:val="21"/>
          <w:szCs w:val="21"/>
          <w:lang w:val="en-GB"/>
        </w:rPr>
        <w:t>完全响应，则请在“是否响应”栏内打“√”，对空白或打“×”视为偏离。</w:t>
      </w:r>
      <w:r>
        <w:rPr>
          <w:rFonts w:hint="eastAsia"/>
          <w:b/>
          <w:bCs/>
          <w:sz w:val="21"/>
          <w:szCs w:val="21"/>
        </w:rPr>
        <w:t>如有缺漏，缺漏项视同不符合</w:t>
      </w:r>
      <w:r>
        <w:rPr>
          <w:rFonts w:hint="eastAsia"/>
          <w:b/>
          <w:bCs/>
          <w:sz w:val="21"/>
          <w:szCs w:val="21"/>
          <w:lang w:val="en-US"/>
        </w:rPr>
        <w:t>磋商</w:t>
      </w:r>
      <w:r>
        <w:rPr>
          <w:rFonts w:hint="eastAsia"/>
          <w:b/>
          <w:bCs/>
          <w:sz w:val="21"/>
          <w:szCs w:val="21"/>
        </w:rPr>
        <w:t>要求。</w:t>
      </w:r>
    </w:p>
    <w:p>
      <w:pPr>
        <w:autoSpaceDE/>
        <w:autoSpaceDN/>
        <w:spacing w:after="5" w:line="360" w:lineRule="auto"/>
        <w:ind w:firstLine="422" w:firstLineChars="200"/>
        <w:rPr>
          <w:b/>
          <w:bCs/>
          <w:sz w:val="21"/>
          <w:szCs w:val="21"/>
        </w:rPr>
      </w:pPr>
      <w:r>
        <w:rPr>
          <w:b/>
          <w:bCs/>
          <w:sz w:val="21"/>
          <w:szCs w:val="21"/>
          <w:lang w:val="en-GB"/>
        </w:rPr>
        <w:t>2.</w:t>
      </w:r>
      <w:r>
        <w:rPr>
          <w:rFonts w:hint="eastAsia"/>
          <w:b/>
          <w:bCs/>
          <w:sz w:val="21"/>
          <w:szCs w:val="21"/>
          <w:lang w:val="en-US"/>
        </w:rPr>
        <w:t>供应商</w:t>
      </w:r>
      <w:r>
        <w:rPr>
          <w:rFonts w:hint="eastAsia"/>
          <w:b/>
          <w:bCs/>
          <w:sz w:val="21"/>
          <w:szCs w:val="21"/>
        </w:rPr>
        <w:t>响应采购需求应具体、明确，含糊不清、不确切或伪造、变造证明材料的，按照不完全响应或者完全不响应处理。构成提供虚假材料的，移送监管部门查处。</w:t>
      </w:r>
    </w:p>
    <w:p>
      <w:pPr>
        <w:autoSpaceDE/>
        <w:autoSpaceDN/>
        <w:spacing w:after="5" w:line="360" w:lineRule="auto"/>
        <w:ind w:firstLine="422" w:firstLineChars="200"/>
        <w:rPr>
          <w:sz w:val="21"/>
          <w:szCs w:val="21"/>
        </w:rPr>
      </w:pPr>
      <w:r>
        <w:rPr>
          <w:b/>
          <w:bCs/>
          <w:sz w:val="21"/>
          <w:szCs w:val="21"/>
          <w:lang w:val="en-GB"/>
        </w:rPr>
        <w:t>3.本表内容不得擅自修改。</w:t>
      </w:r>
    </w:p>
    <w:p>
      <w:pPr>
        <w:adjustRightInd w:val="0"/>
        <w:snapToGrid w:val="0"/>
        <w:spacing w:after="60" w:line="360" w:lineRule="auto"/>
        <w:rPr>
          <w:sz w:val="21"/>
          <w:szCs w:val="21"/>
          <w:u w:val="single"/>
        </w:rPr>
      </w:pPr>
      <w:r>
        <w:rPr>
          <w:rFonts w:hint="eastAsia"/>
          <w:spacing w:val="-1"/>
          <w:sz w:val="21"/>
          <w:szCs w:val="21"/>
          <w:lang w:val="en-US" w:bidi="ar"/>
        </w:rPr>
        <w:t>响</w:t>
      </w:r>
      <w:r>
        <w:rPr>
          <w:rFonts w:hint="eastAsia"/>
          <w:sz w:val="21"/>
          <w:szCs w:val="21"/>
          <w:lang w:val="en-US" w:bidi="ar"/>
        </w:rPr>
        <w:t>应</w:t>
      </w:r>
      <w:r>
        <w:rPr>
          <w:rFonts w:hint="eastAsia"/>
          <w:spacing w:val="-3"/>
          <w:sz w:val="21"/>
          <w:szCs w:val="21"/>
          <w:lang w:val="en-US" w:bidi="ar"/>
        </w:rPr>
        <w:t>供</w:t>
      </w:r>
      <w:r>
        <w:rPr>
          <w:rFonts w:hint="eastAsia"/>
          <w:sz w:val="21"/>
          <w:szCs w:val="21"/>
          <w:lang w:val="en-US" w:bidi="ar"/>
        </w:rPr>
        <w:t>应</w:t>
      </w:r>
      <w:r>
        <w:rPr>
          <w:rFonts w:hint="eastAsia"/>
          <w:spacing w:val="-3"/>
          <w:sz w:val="21"/>
          <w:szCs w:val="21"/>
          <w:lang w:val="en-US" w:bidi="ar"/>
        </w:rPr>
        <w:t>商</w:t>
      </w:r>
      <w:r>
        <w:rPr>
          <w:rFonts w:hint="eastAsia"/>
          <w:sz w:val="21"/>
          <w:szCs w:val="21"/>
        </w:rPr>
        <w:t>名称：</w:t>
      </w:r>
      <w:r>
        <w:rPr>
          <w:sz w:val="21"/>
          <w:szCs w:val="21"/>
        </w:rPr>
        <w:t xml:space="preserve"> </w:t>
      </w:r>
      <w:r>
        <w:rPr>
          <w:sz w:val="21"/>
          <w:szCs w:val="21"/>
          <w:u w:val="single"/>
        </w:rPr>
        <w:t xml:space="preserve">                       </w:t>
      </w:r>
      <w:r>
        <w:rPr>
          <w:rFonts w:hint="eastAsia"/>
          <w:sz w:val="21"/>
          <w:szCs w:val="21"/>
        </w:rPr>
        <w:t>（公章）</w:t>
      </w:r>
    </w:p>
    <w:p>
      <w:pPr>
        <w:adjustRightInd w:val="0"/>
        <w:snapToGrid w:val="0"/>
        <w:spacing w:after="60" w:line="360" w:lineRule="auto"/>
        <w:rPr>
          <w:sz w:val="21"/>
          <w:szCs w:val="21"/>
          <w:u w:val="single"/>
        </w:rPr>
      </w:pPr>
      <w:r>
        <w:rPr>
          <w:rFonts w:hint="eastAsia"/>
          <w:spacing w:val="-1"/>
          <w:sz w:val="21"/>
          <w:szCs w:val="21"/>
          <w:lang w:val="en-US" w:bidi="ar"/>
        </w:rPr>
        <w:t>响</w:t>
      </w:r>
      <w:r>
        <w:rPr>
          <w:rFonts w:hint="eastAsia"/>
          <w:sz w:val="21"/>
          <w:szCs w:val="21"/>
          <w:lang w:val="en-US" w:bidi="ar"/>
        </w:rPr>
        <w:t>应</w:t>
      </w:r>
      <w:r>
        <w:rPr>
          <w:rFonts w:hint="eastAsia"/>
          <w:spacing w:val="-3"/>
          <w:sz w:val="21"/>
          <w:szCs w:val="21"/>
          <w:lang w:val="en-US" w:bidi="ar"/>
        </w:rPr>
        <w:t>供</w:t>
      </w:r>
      <w:r>
        <w:rPr>
          <w:rFonts w:hint="eastAsia"/>
          <w:sz w:val="21"/>
          <w:szCs w:val="21"/>
          <w:lang w:val="en-US" w:bidi="ar"/>
        </w:rPr>
        <w:t>应</w:t>
      </w:r>
      <w:r>
        <w:rPr>
          <w:rFonts w:hint="eastAsia"/>
          <w:spacing w:val="-3"/>
          <w:sz w:val="21"/>
          <w:szCs w:val="21"/>
          <w:lang w:val="en-US" w:bidi="ar"/>
        </w:rPr>
        <w:t>商</w:t>
      </w:r>
      <w:r>
        <w:rPr>
          <w:rFonts w:hint="eastAsia"/>
          <w:sz w:val="21"/>
          <w:szCs w:val="21"/>
        </w:rPr>
        <w:t>法定代表人（或法定代表人授权代表）（签名或盖私章）：</w:t>
      </w:r>
      <w:r>
        <w:rPr>
          <w:sz w:val="21"/>
          <w:szCs w:val="21"/>
        </w:rPr>
        <w:t xml:space="preserve">  </w:t>
      </w:r>
      <w:r>
        <w:rPr>
          <w:sz w:val="21"/>
          <w:szCs w:val="21"/>
          <w:u w:val="single"/>
        </w:rPr>
        <w:t xml:space="preserve">                 </w:t>
      </w:r>
    </w:p>
    <w:p>
      <w:pPr>
        <w:spacing w:after="60" w:line="360" w:lineRule="auto"/>
        <w:rPr>
          <w:sz w:val="21"/>
          <w:szCs w:val="21"/>
        </w:rPr>
      </w:pPr>
      <w:r>
        <w:rPr>
          <w:rFonts w:hint="eastAsia"/>
          <w:sz w:val="21"/>
          <w:szCs w:val="21"/>
        </w:rPr>
        <w:t>日期：</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pPr>
        <w:rPr>
          <w:b/>
          <w:sz w:val="21"/>
          <w:szCs w:val="21"/>
          <w:lang w:val="en-US" w:bidi="ar"/>
        </w:rPr>
      </w:pPr>
    </w:p>
    <w:p>
      <w:pPr>
        <w:rPr>
          <w:b/>
          <w:sz w:val="21"/>
          <w:szCs w:val="21"/>
        </w:rPr>
      </w:pPr>
      <w:r>
        <w:rPr>
          <w:rFonts w:hint="eastAsia"/>
          <w:b/>
          <w:sz w:val="21"/>
          <w:szCs w:val="21"/>
          <w:lang w:val="en-US" w:bidi="ar"/>
        </w:rPr>
        <w:t>（</w:t>
      </w:r>
      <w:r>
        <w:rPr>
          <w:b/>
          <w:sz w:val="21"/>
          <w:szCs w:val="21"/>
          <w:lang w:val="en-US" w:bidi="ar"/>
        </w:rPr>
        <w:t>2）一般商务条款响应表</w:t>
      </w:r>
    </w:p>
    <w:p>
      <w:pPr>
        <w:pStyle w:val="16"/>
        <w:autoSpaceDE w:val="0"/>
        <w:autoSpaceDN w:val="0"/>
        <w:spacing w:before="6"/>
        <w:jc w:val="left"/>
        <w:rPr>
          <w:rFonts w:ascii="宋体" w:hAnsi="宋体" w:cs="宋体"/>
          <w:b/>
          <w:sz w:val="21"/>
          <w:szCs w:val="21"/>
        </w:rPr>
      </w:pPr>
    </w:p>
    <w:tbl>
      <w:tblPr>
        <w:tblStyle w:val="18"/>
        <w:tblW w:w="9584" w:type="dxa"/>
        <w:tblInd w:w="2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6013"/>
        <w:gridCol w:w="1140"/>
        <w:gridCol w:w="1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703" w:type="dxa"/>
            <w:tcBorders>
              <w:top w:val="single" w:color="000000" w:sz="4" w:space="0"/>
              <w:left w:val="single" w:color="000000" w:sz="4" w:space="0"/>
              <w:bottom w:val="single" w:color="000000" w:sz="4" w:space="0"/>
              <w:right w:val="single" w:color="000000" w:sz="4" w:space="0"/>
            </w:tcBorders>
            <w:shd w:val="clear" w:color="auto" w:fill="F3F3F3"/>
          </w:tcPr>
          <w:p>
            <w:pPr>
              <w:pStyle w:val="16"/>
              <w:autoSpaceDE w:val="0"/>
              <w:autoSpaceDN w:val="0"/>
              <w:spacing w:before="54"/>
              <w:ind w:left="122" w:right="110"/>
              <w:jc w:val="center"/>
              <w:rPr>
                <w:rFonts w:ascii="宋体" w:hAnsi="宋体" w:cs="宋体"/>
                <w:sz w:val="21"/>
                <w:szCs w:val="21"/>
              </w:rPr>
            </w:pPr>
            <w:r>
              <w:rPr>
                <w:rFonts w:hint="eastAsia" w:ascii="宋体" w:hAnsi="宋体" w:cs="宋体"/>
                <w:kern w:val="0"/>
                <w:sz w:val="21"/>
                <w:szCs w:val="21"/>
                <w:lang w:bidi="ar"/>
              </w:rPr>
              <w:t>序号</w:t>
            </w:r>
          </w:p>
        </w:tc>
        <w:tc>
          <w:tcPr>
            <w:tcW w:w="6013" w:type="dxa"/>
            <w:tcBorders>
              <w:top w:val="single" w:color="000000" w:sz="4" w:space="0"/>
              <w:left w:val="single" w:color="000000" w:sz="4" w:space="0"/>
              <w:bottom w:val="single" w:color="000000" w:sz="4" w:space="0"/>
              <w:right w:val="single" w:color="000000" w:sz="4" w:space="0"/>
            </w:tcBorders>
            <w:shd w:val="clear" w:color="auto" w:fill="F3F3F3"/>
          </w:tcPr>
          <w:p>
            <w:pPr>
              <w:pStyle w:val="16"/>
              <w:autoSpaceDE w:val="0"/>
              <w:autoSpaceDN w:val="0"/>
              <w:spacing w:before="54"/>
              <w:ind w:left="2146" w:right="2134"/>
              <w:jc w:val="center"/>
              <w:rPr>
                <w:rFonts w:ascii="宋体" w:hAnsi="宋体" w:cs="宋体"/>
                <w:sz w:val="21"/>
                <w:szCs w:val="21"/>
              </w:rPr>
            </w:pPr>
            <w:r>
              <w:rPr>
                <w:rFonts w:hint="eastAsia" w:ascii="宋体" w:hAnsi="宋体" w:cs="宋体"/>
                <w:kern w:val="0"/>
                <w:sz w:val="21"/>
                <w:szCs w:val="21"/>
                <w:lang w:bidi="ar"/>
              </w:rPr>
              <w:t>一般商务条款要求</w:t>
            </w:r>
          </w:p>
        </w:tc>
        <w:tc>
          <w:tcPr>
            <w:tcW w:w="1140" w:type="dxa"/>
            <w:tcBorders>
              <w:top w:val="single" w:color="000000" w:sz="4" w:space="0"/>
              <w:left w:val="single" w:color="000000" w:sz="4" w:space="0"/>
              <w:bottom w:val="single" w:color="000000" w:sz="4" w:space="0"/>
              <w:right w:val="single" w:color="000000" w:sz="4" w:space="0"/>
            </w:tcBorders>
            <w:shd w:val="clear" w:color="auto" w:fill="F3F3F3"/>
          </w:tcPr>
          <w:p>
            <w:pPr>
              <w:pStyle w:val="16"/>
              <w:autoSpaceDE w:val="0"/>
              <w:autoSpaceDN w:val="0"/>
              <w:spacing w:before="54"/>
              <w:ind w:left="148"/>
              <w:jc w:val="left"/>
              <w:rPr>
                <w:rFonts w:ascii="宋体" w:hAnsi="宋体" w:cs="宋体"/>
                <w:sz w:val="21"/>
                <w:szCs w:val="21"/>
              </w:rPr>
            </w:pPr>
            <w:r>
              <w:rPr>
                <w:rFonts w:hint="eastAsia" w:ascii="宋体" w:hAnsi="宋体" w:cs="宋体"/>
                <w:kern w:val="0"/>
                <w:sz w:val="21"/>
                <w:szCs w:val="21"/>
                <w:lang w:bidi="ar"/>
              </w:rPr>
              <w:t>是否响应</w:t>
            </w:r>
          </w:p>
        </w:tc>
        <w:tc>
          <w:tcPr>
            <w:tcW w:w="1728" w:type="dxa"/>
            <w:tcBorders>
              <w:top w:val="single" w:color="000000" w:sz="4" w:space="0"/>
              <w:left w:val="single" w:color="000000" w:sz="4" w:space="0"/>
              <w:bottom w:val="single" w:color="000000" w:sz="4" w:space="0"/>
              <w:right w:val="single" w:color="000000" w:sz="4" w:space="0"/>
            </w:tcBorders>
            <w:shd w:val="clear" w:color="auto" w:fill="F3F3F3"/>
          </w:tcPr>
          <w:p>
            <w:pPr>
              <w:pStyle w:val="16"/>
              <w:autoSpaceDE w:val="0"/>
              <w:autoSpaceDN w:val="0"/>
              <w:spacing w:before="54"/>
              <w:ind w:left="441"/>
              <w:jc w:val="left"/>
              <w:rPr>
                <w:rFonts w:ascii="宋体" w:hAnsi="宋体" w:cs="宋体"/>
                <w:sz w:val="21"/>
                <w:szCs w:val="21"/>
              </w:rPr>
            </w:pPr>
            <w:r>
              <w:rPr>
                <w:rFonts w:hint="eastAsia" w:ascii="宋体" w:hAnsi="宋体" w:cs="宋体"/>
                <w:kern w:val="0"/>
                <w:sz w:val="21"/>
                <w:szCs w:val="21"/>
                <w:lang w:bidi="ar"/>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68"/>
              <w:ind w:left="7"/>
              <w:jc w:val="center"/>
              <w:rPr>
                <w:rFonts w:ascii="宋体" w:hAnsi="宋体" w:cs="宋体"/>
                <w:sz w:val="21"/>
                <w:szCs w:val="21"/>
              </w:rPr>
            </w:pPr>
            <w:r>
              <w:rPr>
                <w:rFonts w:ascii="宋体" w:hAnsi="宋体" w:cs="宋体"/>
                <w:kern w:val="0"/>
                <w:sz w:val="21"/>
                <w:szCs w:val="21"/>
                <w:lang w:bidi="ar"/>
              </w:rPr>
              <w:t>1</w:t>
            </w:r>
          </w:p>
        </w:tc>
        <w:tc>
          <w:tcPr>
            <w:tcW w:w="601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68"/>
              <w:ind w:left="107"/>
              <w:jc w:val="left"/>
              <w:rPr>
                <w:rFonts w:ascii="宋体" w:hAnsi="宋体" w:cs="宋体"/>
                <w:sz w:val="21"/>
                <w:szCs w:val="21"/>
              </w:rPr>
            </w:pPr>
            <w:r>
              <w:rPr>
                <w:rFonts w:hint="eastAsia" w:ascii="宋体" w:hAnsi="宋体" w:cs="宋体"/>
                <w:kern w:val="0"/>
                <w:sz w:val="21"/>
                <w:szCs w:val="21"/>
                <w:lang w:bidi="ar"/>
              </w:rPr>
              <w:t>完全理解并接受合同条款要求</w:t>
            </w:r>
          </w:p>
        </w:tc>
        <w:tc>
          <w:tcPr>
            <w:tcW w:w="114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68"/>
              <w:ind w:left="7"/>
              <w:jc w:val="center"/>
              <w:rPr>
                <w:rFonts w:ascii="宋体" w:hAnsi="宋体" w:cs="宋体"/>
                <w:sz w:val="21"/>
                <w:szCs w:val="21"/>
              </w:rPr>
            </w:pPr>
            <w:r>
              <w:rPr>
                <w:rFonts w:ascii="宋体" w:hAnsi="宋体" w:cs="宋体"/>
                <w:kern w:val="0"/>
                <w:sz w:val="21"/>
                <w:szCs w:val="21"/>
                <w:lang w:bidi="ar"/>
              </w:rPr>
              <w:t>2</w:t>
            </w:r>
          </w:p>
        </w:tc>
        <w:tc>
          <w:tcPr>
            <w:tcW w:w="601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68"/>
              <w:ind w:left="107"/>
              <w:jc w:val="left"/>
              <w:rPr>
                <w:rFonts w:ascii="宋体" w:hAnsi="宋体" w:cs="宋体"/>
                <w:sz w:val="21"/>
                <w:szCs w:val="21"/>
              </w:rPr>
            </w:pPr>
            <w:r>
              <w:rPr>
                <w:rFonts w:hint="eastAsia" w:ascii="宋体" w:hAnsi="宋体" w:cs="宋体"/>
                <w:kern w:val="0"/>
                <w:sz w:val="21"/>
                <w:szCs w:val="21"/>
                <w:lang w:bidi="ar"/>
              </w:rPr>
              <w:t>完全理解并接受对合格供应商、合格的货物、工程和服务要求</w:t>
            </w:r>
          </w:p>
        </w:tc>
        <w:tc>
          <w:tcPr>
            <w:tcW w:w="114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68"/>
              <w:ind w:left="7"/>
              <w:jc w:val="center"/>
              <w:rPr>
                <w:rFonts w:ascii="宋体" w:hAnsi="宋体" w:cs="宋体"/>
                <w:sz w:val="21"/>
                <w:szCs w:val="21"/>
              </w:rPr>
            </w:pPr>
            <w:r>
              <w:rPr>
                <w:rFonts w:ascii="宋体" w:hAnsi="宋体" w:cs="宋体"/>
                <w:kern w:val="0"/>
                <w:sz w:val="21"/>
                <w:szCs w:val="21"/>
                <w:lang w:bidi="ar"/>
              </w:rPr>
              <w:t>3</w:t>
            </w:r>
          </w:p>
        </w:tc>
        <w:tc>
          <w:tcPr>
            <w:tcW w:w="601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68"/>
              <w:ind w:left="107"/>
              <w:jc w:val="left"/>
              <w:rPr>
                <w:rFonts w:ascii="宋体" w:hAnsi="宋体" w:cs="宋体"/>
                <w:sz w:val="21"/>
                <w:szCs w:val="21"/>
              </w:rPr>
            </w:pPr>
            <w:r>
              <w:rPr>
                <w:rFonts w:hint="eastAsia" w:ascii="宋体" w:hAnsi="宋体" w:cs="宋体"/>
                <w:kern w:val="0"/>
                <w:sz w:val="21"/>
                <w:szCs w:val="21"/>
                <w:lang w:bidi="ar"/>
              </w:rPr>
              <w:t>完全理解并接受对供应商的各项须知、规约要求和责任义务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
              <w:jc w:val="left"/>
              <w:rPr>
                <w:rFonts w:ascii="宋体" w:hAnsi="宋体" w:cs="宋体"/>
                <w:b/>
                <w:sz w:val="21"/>
                <w:szCs w:val="21"/>
              </w:rPr>
            </w:pPr>
          </w:p>
          <w:p>
            <w:pPr>
              <w:pStyle w:val="16"/>
              <w:autoSpaceDE w:val="0"/>
              <w:autoSpaceDN w:val="0"/>
              <w:ind w:left="7"/>
              <w:jc w:val="center"/>
              <w:rPr>
                <w:rFonts w:ascii="宋体" w:hAnsi="宋体" w:cs="宋体"/>
                <w:sz w:val="21"/>
                <w:szCs w:val="21"/>
              </w:rPr>
            </w:pPr>
            <w:r>
              <w:rPr>
                <w:rFonts w:ascii="宋体" w:hAnsi="宋体" w:cs="宋体"/>
                <w:kern w:val="0"/>
                <w:sz w:val="21"/>
                <w:szCs w:val="21"/>
                <w:lang w:bidi="ar"/>
              </w:rPr>
              <w:t>4</w:t>
            </w:r>
          </w:p>
        </w:tc>
        <w:tc>
          <w:tcPr>
            <w:tcW w:w="601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59"/>
              <w:ind w:left="107" w:right="91"/>
              <w:jc w:val="left"/>
              <w:rPr>
                <w:rFonts w:ascii="宋体" w:hAnsi="宋体" w:cs="宋体"/>
                <w:sz w:val="21"/>
                <w:szCs w:val="21"/>
              </w:rPr>
            </w:pPr>
            <w:r>
              <w:rPr>
                <w:rFonts w:hint="eastAsia" w:ascii="宋体" w:hAnsi="宋体" w:cs="宋体"/>
                <w:spacing w:val="-12"/>
                <w:kern w:val="0"/>
                <w:sz w:val="21"/>
                <w:szCs w:val="21"/>
                <w:lang w:bidi="ar"/>
              </w:rPr>
              <w:t>磋商有效期：磋商有效期为自递交响应文件起至确定正式成交供</w:t>
            </w:r>
            <w:r>
              <w:rPr>
                <w:rFonts w:hint="eastAsia" w:ascii="宋体" w:hAnsi="宋体" w:cs="宋体"/>
                <w:spacing w:val="-13"/>
                <w:kern w:val="0"/>
                <w:sz w:val="21"/>
                <w:szCs w:val="21"/>
                <w:lang w:bidi="ar"/>
              </w:rPr>
              <w:t>应商止不少于</w:t>
            </w:r>
            <w:r>
              <w:rPr>
                <w:rFonts w:ascii="宋体" w:hAnsi="宋体" w:cs="宋体"/>
                <w:spacing w:val="-13"/>
                <w:kern w:val="0"/>
                <w:sz w:val="21"/>
                <w:szCs w:val="21"/>
                <w:u w:val="single"/>
                <w:lang w:bidi="ar"/>
              </w:rPr>
              <w:t xml:space="preserve"> </w:t>
            </w:r>
            <w:r>
              <w:rPr>
                <w:rFonts w:ascii="宋体" w:hAnsi="宋体" w:cs="宋体"/>
                <w:kern w:val="0"/>
                <w:sz w:val="21"/>
                <w:szCs w:val="21"/>
                <w:u w:val="single"/>
                <w:lang w:bidi="ar"/>
              </w:rPr>
              <w:t>90</w:t>
            </w:r>
            <w:r>
              <w:rPr>
                <w:rFonts w:ascii="宋体" w:hAnsi="宋体" w:cs="宋体"/>
                <w:spacing w:val="-9"/>
                <w:kern w:val="0"/>
                <w:sz w:val="21"/>
                <w:szCs w:val="21"/>
                <w:u w:val="single"/>
                <w:lang w:bidi="ar"/>
              </w:rPr>
              <w:t xml:space="preserve"> </w:t>
            </w:r>
            <w:r>
              <w:rPr>
                <w:rFonts w:hint="eastAsia" w:ascii="宋体" w:hAnsi="宋体" w:cs="宋体"/>
                <w:spacing w:val="-9"/>
                <w:kern w:val="0"/>
                <w:sz w:val="21"/>
                <w:szCs w:val="21"/>
                <w:lang w:bidi="ar"/>
              </w:rPr>
              <w:t>天，成交供应商有效期至项目验收之日</w:t>
            </w:r>
          </w:p>
        </w:tc>
        <w:tc>
          <w:tcPr>
            <w:tcW w:w="114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85"/>
              <w:ind w:left="7"/>
              <w:jc w:val="center"/>
              <w:rPr>
                <w:rFonts w:ascii="宋体" w:hAnsi="宋体" w:cs="宋体"/>
                <w:sz w:val="21"/>
                <w:szCs w:val="21"/>
              </w:rPr>
            </w:pPr>
            <w:r>
              <w:rPr>
                <w:rFonts w:ascii="宋体" w:hAnsi="宋体" w:cs="宋体"/>
                <w:kern w:val="0"/>
                <w:sz w:val="21"/>
                <w:szCs w:val="21"/>
                <w:lang w:bidi="ar"/>
              </w:rPr>
              <w:t>5</w:t>
            </w:r>
          </w:p>
        </w:tc>
        <w:tc>
          <w:tcPr>
            <w:tcW w:w="601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85"/>
              <w:ind w:left="107"/>
              <w:jc w:val="left"/>
              <w:rPr>
                <w:rFonts w:ascii="宋体" w:hAnsi="宋体" w:cs="宋体"/>
                <w:sz w:val="21"/>
                <w:szCs w:val="21"/>
              </w:rPr>
            </w:pPr>
            <w:r>
              <w:rPr>
                <w:rFonts w:hint="eastAsia" w:ascii="宋体" w:hAnsi="宋体" w:cs="宋体"/>
                <w:kern w:val="0"/>
                <w:sz w:val="21"/>
                <w:szCs w:val="21"/>
                <w:lang w:bidi="ar"/>
              </w:rPr>
              <w:t>报价内容均涵盖报价要求之一切费用和伴随服务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2"/>
              <w:jc w:val="left"/>
              <w:rPr>
                <w:rFonts w:ascii="宋体" w:hAnsi="宋体" w:cs="宋体"/>
                <w:b/>
                <w:sz w:val="21"/>
                <w:szCs w:val="21"/>
              </w:rPr>
            </w:pPr>
          </w:p>
          <w:p>
            <w:pPr>
              <w:pStyle w:val="16"/>
              <w:autoSpaceDE w:val="0"/>
              <w:autoSpaceDN w:val="0"/>
              <w:ind w:left="7"/>
              <w:jc w:val="center"/>
              <w:rPr>
                <w:rFonts w:ascii="宋体" w:hAnsi="宋体" w:cs="宋体"/>
                <w:sz w:val="21"/>
                <w:szCs w:val="21"/>
              </w:rPr>
            </w:pPr>
            <w:r>
              <w:rPr>
                <w:rFonts w:ascii="宋体" w:hAnsi="宋体" w:cs="宋体"/>
                <w:kern w:val="0"/>
                <w:sz w:val="21"/>
                <w:szCs w:val="21"/>
                <w:lang w:bidi="ar"/>
              </w:rPr>
              <w:t>6</w:t>
            </w:r>
          </w:p>
        </w:tc>
        <w:tc>
          <w:tcPr>
            <w:tcW w:w="601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80"/>
              <w:ind w:left="107" w:right="103"/>
              <w:jc w:val="left"/>
              <w:rPr>
                <w:rFonts w:ascii="宋体" w:hAnsi="宋体" w:cs="宋体"/>
                <w:sz w:val="21"/>
                <w:szCs w:val="21"/>
              </w:rPr>
            </w:pPr>
            <w:r>
              <w:rPr>
                <w:rFonts w:hint="eastAsia" w:ascii="宋体" w:hAnsi="宋体" w:cs="宋体"/>
                <w:kern w:val="0"/>
                <w:sz w:val="21"/>
                <w:szCs w:val="21"/>
                <w:lang w:bidi="ar"/>
              </w:rPr>
              <w:t>所提供的报价不高于产品制造商权威网站目前的报价水平和广东省现市场零售价</w:t>
            </w:r>
          </w:p>
        </w:tc>
        <w:tc>
          <w:tcPr>
            <w:tcW w:w="114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58"/>
              <w:ind w:left="7"/>
              <w:jc w:val="center"/>
              <w:rPr>
                <w:rFonts w:ascii="宋体" w:hAnsi="宋体" w:cs="宋体"/>
                <w:sz w:val="21"/>
                <w:szCs w:val="21"/>
              </w:rPr>
            </w:pPr>
            <w:r>
              <w:rPr>
                <w:rFonts w:ascii="宋体" w:hAnsi="宋体" w:cs="宋体"/>
                <w:kern w:val="0"/>
                <w:sz w:val="21"/>
                <w:szCs w:val="21"/>
                <w:lang w:bidi="ar"/>
              </w:rPr>
              <w:t>7</w:t>
            </w:r>
          </w:p>
        </w:tc>
        <w:tc>
          <w:tcPr>
            <w:tcW w:w="601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58"/>
              <w:ind w:left="107"/>
              <w:jc w:val="left"/>
              <w:rPr>
                <w:rFonts w:ascii="宋体" w:hAnsi="宋体" w:cs="宋体"/>
                <w:sz w:val="21"/>
                <w:szCs w:val="21"/>
              </w:rPr>
            </w:pPr>
            <w:r>
              <w:rPr>
                <w:rFonts w:hint="eastAsia" w:ascii="宋体" w:hAnsi="宋体" w:cs="宋体"/>
                <w:kern w:val="0"/>
                <w:sz w:val="21"/>
                <w:szCs w:val="21"/>
                <w:lang w:bidi="ar"/>
              </w:rPr>
              <w:t>完工期：按照磋商文件要求</w:t>
            </w:r>
          </w:p>
        </w:tc>
        <w:tc>
          <w:tcPr>
            <w:tcW w:w="114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61"/>
              <w:ind w:left="7"/>
              <w:jc w:val="center"/>
              <w:rPr>
                <w:rFonts w:ascii="宋体" w:hAnsi="宋体" w:cs="宋体"/>
                <w:sz w:val="21"/>
                <w:szCs w:val="21"/>
              </w:rPr>
            </w:pPr>
            <w:r>
              <w:rPr>
                <w:rFonts w:ascii="宋体" w:hAnsi="宋体" w:cs="宋体"/>
                <w:kern w:val="0"/>
                <w:sz w:val="21"/>
                <w:szCs w:val="21"/>
                <w:lang w:bidi="ar"/>
              </w:rPr>
              <w:t>8</w:t>
            </w:r>
          </w:p>
        </w:tc>
        <w:tc>
          <w:tcPr>
            <w:tcW w:w="601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61"/>
              <w:ind w:left="107"/>
              <w:jc w:val="left"/>
              <w:rPr>
                <w:rFonts w:ascii="宋体" w:hAnsi="宋体" w:cs="宋体"/>
                <w:sz w:val="21"/>
                <w:szCs w:val="21"/>
              </w:rPr>
            </w:pPr>
            <w:r>
              <w:rPr>
                <w:rFonts w:hint="eastAsia" w:ascii="宋体" w:hAnsi="宋体" w:cs="宋体"/>
                <w:kern w:val="0"/>
                <w:sz w:val="21"/>
                <w:szCs w:val="21"/>
                <w:lang w:bidi="ar"/>
              </w:rPr>
              <w:t>同意接受合同范本所列述的各项条款</w:t>
            </w:r>
          </w:p>
        </w:tc>
        <w:tc>
          <w:tcPr>
            <w:tcW w:w="114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61"/>
              <w:ind w:left="7"/>
              <w:jc w:val="center"/>
              <w:rPr>
                <w:rFonts w:ascii="宋体" w:hAnsi="宋体" w:cs="宋体"/>
                <w:sz w:val="21"/>
                <w:szCs w:val="21"/>
              </w:rPr>
            </w:pPr>
            <w:r>
              <w:rPr>
                <w:rFonts w:ascii="宋体" w:hAnsi="宋体" w:cs="宋体"/>
                <w:kern w:val="0"/>
                <w:sz w:val="21"/>
                <w:szCs w:val="21"/>
                <w:lang w:bidi="ar"/>
              </w:rPr>
              <w:t>9</w:t>
            </w:r>
          </w:p>
        </w:tc>
        <w:tc>
          <w:tcPr>
            <w:tcW w:w="601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61"/>
              <w:ind w:left="107"/>
              <w:jc w:val="left"/>
              <w:rPr>
                <w:rFonts w:ascii="宋体" w:hAnsi="宋体" w:cs="宋体"/>
                <w:sz w:val="21"/>
                <w:szCs w:val="21"/>
              </w:rPr>
            </w:pPr>
            <w:r>
              <w:rPr>
                <w:rFonts w:hint="eastAsia" w:ascii="宋体" w:hAnsi="宋体" w:cs="宋体"/>
                <w:kern w:val="0"/>
                <w:sz w:val="21"/>
                <w:szCs w:val="21"/>
                <w:lang w:bidi="ar"/>
              </w:rPr>
              <w:t>同意按本项目要求缴付相关款项</w:t>
            </w:r>
          </w:p>
        </w:tc>
        <w:tc>
          <w:tcPr>
            <w:tcW w:w="114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38"/>
              <w:ind w:left="117" w:right="110"/>
              <w:jc w:val="center"/>
              <w:rPr>
                <w:rFonts w:ascii="宋体" w:hAnsi="宋体" w:cs="宋体"/>
                <w:sz w:val="21"/>
                <w:szCs w:val="21"/>
              </w:rPr>
            </w:pPr>
            <w:r>
              <w:rPr>
                <w:rFonts w:ascii="宋体" w:hAnsi="宋体" w:cs="宋体"/>
                <w:kern w:val="0"/>
                <w:sz w:val="21"/>
                <w:szCs w:val="21"/>
                <w:lang w:bidi="ar"/>
              </w:rPr>
              <w:t>10</w:t>
            </w:r>
          </w:p>
        </w:tc>
        <w:tc>
          <w:tcPr>
            <w:tcW w:w="601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
              <w:ind w:left="107" w:right="91"/>
              <w:jc w:val="left"/>
              <w:rPr>
                <w:rFonts w:ascii="宋体" w:hAnsi="宋体" w:cs="宋体"/>
                <w:sz w:val="21"/>
                <w:szCs w:val="21"/>
              </w:rPr>
            </w:pPr>
            <w:r>
              <w:rPr>
                <w:rFonts w:hint="eastAsia" w:ascii="宋体" w:hAnsi="宋体" w:cs="宋体"/>
                <w:kern w:val="0"/>
                <w:sz w:val="21"/>
                <w:szCs w:val="21"/>
                <w:lang w:bidi="ar"/>
              </w:rPr>
              <w:t>同意采购方以任何形式对我方响应文件内容的真实性和有效性进行审查、验证</w:t>
            </w:r>
          </w:p>
        </w:tc>
        <w:tc>
          <w:tcPr>
            <w:tcW w:w="114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16"/>
              <w:ind w:left="117" w:right="110"/>
              <w:jc w:val="center"/>
              <w:rPr>
                <w:rFonts w:ascii="宋体" w:hAnsi="宋体" w:cs="宋体"/>
                <w:sz w:val="21"/>
                <w:szCs w:val="21"/>
              </w:rPr>
            </w:pPr>
            <w:r>
              <w:rPr>
                <w:rFonts w:ascii="宋体" w:hAnsi="宋体" w:cs="宋体"/>
                <w:kern w:val="0"/>
                <w:sz w:val="21"/>
                <w:szCs w:val="21"/>
                <w:lang w:bidi="ar"/>
              </w:rPr>
              <w:t>11</w:t>
            </w:r>
          </w:p>
        </w:tc>
        <w:tc>
          <w:tcPr>
            <w:tcW w:w="6013"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16"/>
              <w:ind w:left="107"/>
              <w:jc w:val="left"/>
              <w:rPr>
                <w:rFonts w:ascii="宋体" w:hAnsi="宋体" w:cs="宋体"/>
                <w:sz w:val="21"/>
                <w:szCs w:val="21"/>
              </w:rPr>
            </w:pPr>
            <w:r>
              <w:rPr>
                <w:rFonts w:hint="eastAsia" w:ascii="宋体" w:hAnsi="宋体" w:cs="宋体"/>
                <w:kern w:val="0"/>
                <w:sz w:val="21"/>
                <w:szCs w:val="21"/>
                <w:lang w:bidi="ar"/>
              </w:rPr>
              <w:t>其它商务条款</w:t>
            </w:r>
          </w:p>
        </w:tc>
        <w:tc>
          <w:tcPr>
            <w:tcW w:w="114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bl>
    <w:p>
      <w:pPr>
        <w:spacing w:line="360" w:lineRule="auto"/>
        <w:ind w:left="860" w:leftChars="200" w:hanging="420" w:hangingChars="200"/>
        <w:rPr>
          <w:sz w:val="21"/>
          <w:szCs w:val="21"/>
        </w:rPr>
      </w:pPr>
      <w:r>
        <w:rPr>
          <w:rFonts w:hint="eastAsia"/>
          <w:sz w:val="21"/>
          <w:szCs w:val="21"/>
          <w:lang w:val="en-US" w:bidi="ar"/>
        </w:rPr>
        <w:t>注：</w:t>
      </w:r>
      <w:r>
        <w:rPr>
          <w:sz w:val="21"/>
          <w:szCs w:val="21"/>
          <w:lang w:val="en-US" w:bidi="ar"/>
        </w:rPr>
        <w:t>1.对于上述要求，如供应商完全响应，则请在“是否响应”栏内打“√”，对空白或打“×视为偏离，请在“偏离说明”栏内扼要说明偏离情况。</w:t>
      </w:r>
    </w:p>
    <w:p>
      <w:pPr>
        <w:spacing w:line="360" w:lineRule="auto"/>
        <w:ind w:firstLine="840" w:firstLineChars="400"/>
        <w:rPr>
          <w:sz w:val="21"/>
          <w:szCs w:val="21"/>
        </w:rPr>
      </w:pPr>
      <w:r>
        <w:rPr>
          <w:sz w:val="21"/>
          <w:szCs w:val="21"/>
          <w:lang w:val="en-US" w:bidi="ar"/>
        </w:rPr>
        <w:t>2.本表内容不得擅自修改。</w:t>
      </w:r>
    </w:p>
    <w:p>
      <w:pPr>
        <w:pStyle w:val="16"/>
        <w:autoSpaceDE w:val="0"/>
        <w:autoSpaceDN w:val="0"/>
        <w:jc w:val="left"/>
        <w:rPr>
          <w:rFonts w:ascii="宋体" w:hAnsi="宋体" w:cs="宋体"/>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sectPr>
          <w:pgSz w:w="11910" w:h="16840"/>
          <w:pgMar w:top="1440" w:right="1080" w:bottom="1440" w:left="1080" w:header="945" w:footer="893" w:gutter="0"/>
          <w:cols w:space="720" w:num="1"/>
        </w:sectPr>
      </w:pPr>
    </w:p>
    <w:p>
      <w:pPr>
        <w:pStyle w:val="4"/>
        <w:widowControl/>
        <w:spacing w:before="48" w:beforeLines="20" w:after="240" w:afterLines="100" w:line="360" w:lineRule="auto"/>
        <w:ind w:right="0"/>
        <w:rPr>
          <w:sz w:val="21"/>
          <w:szCs w:val="21"/>
        </w:rPr>
      </w:pPr>
      <w:bookmarkStart w:id="335" w:name="_Toc11773"/>
      <w:bookmarkStart w:id="336" w:name="_Toc6529"/>
      <w:bookmarkStart w:id="337" w:name="_Toc18909"/>
      <w:bookmarkStart w:id="338" w:name="_Toc22260_WPSOffice_Level2"/>
      <w:bookmarkStart w:id="339" w:name="_Toc27907"/>
      <w:bookmarkStart w:id="340" w:name="_Toc2236"/>
      <w:bookmarkStart w:id="341" w:name="_Toc32454"/>
      <w:bookmarkStart w:id="342" w:name="_Toc14144"/>
      <w:r>
        <w:rPr>
          <w:rFonts w:hint="eastAsia"/>
          <w:sz w:val="21"/>
          <w:szCs w:val="21"/>
        </w:rPr>
        <w:t>四、技术部分</w:t>
      </w:r>
      <w:bookmarkEnd w:id="335"/>
      <w:bookmarkEnd w:id="336"/>
      <w:bookmarkEnd w:id="337"/>
      <w:bookmarkEnd w:id="338"/>
      <w:bookmarkEnd w:id="339"/>
      <w:bookmarkEnd w:id="340"/>
      <w:bookmarkEnd w:id="341"/>
      <w:bookmarkEnd w:id="342"/>
    </w:p>
    <w:p>
      <w:pPr>
        <w:tabs>
          <w:tab w:val="left" w:pos="729"/>
        </w:tabs>
        <w:spacing w:before="60" w:beforeLines="25" w:after="60" w:afterLines="25" w:line="360" w:lineRule="auto"/>
        <w:outlineLvl w:val="1"/>
        <w:rPr>
          <w:b/>
          <w:sz w:val="21"/>
          <w:szCs w:val="21"/>
        </w:rPr>
      </w:pPr>
      <w:bookmarkStart w:id="343" w:name="_Toc15081"/>
      <w:bookmarkStart w:id="344" w:name="_Toc23420"/>
      <w:bookmarkStart w:id="345" w:name="_Toc28394_WPSOffice_Level3"/>
      <w:r>
        <w:rPr>
          <w:b/>
          <w:sz w:val="21"/>
          <w:szCs w:val="21"/>
          <w:lang w:val="en-US" w:bidi="ar"/>
        </w:rPr>
        <w:t xml:space="preserve">4.1 </w:t>
      </w:r>
      <w:r>
        <w:rPr>
          <w:rFonts w:hint="eastAsia"/>
          <w:b/>
          <w:sz w:val="21"/>
          <w:szCs w:val="21"/>
          <w:lang w:val="en-US" w:bidi="ar"/>
        </w:rPr>
        <w:t>技术条款响应表</w:t>
      </w:r>
      <w:bookmarkEnd w:id="343"/>
      <w:bookmarkEnd w:id="344"/>
      <w:bookmarkEnd w:id="345"/>
    </w:p>
    <w:p>
      <w:pPr>
        <w:spacing w:before="71" w:after="120" w:afterLines="50"/>
        <w:ind w:left="442" w:right="533"/>
        <w:jc w:val="center"/>
        <w:rPr>
          <w:b/>
          <w:sz w:val="21"/>
          <w:szCs w:val="21"/>
        </w:rPr>
      </w:pPr>
      <w:r>
        <w:rPr>
          <w:rFonts w:hint="eastAsia"/>
          <w:b/>
          <w:sz w:val="21"/>
          <w:szCs w:val="21"/>
          <w:lang w:val="en-US" w:bidi="ar"/>
        </w:rPr>
        <w:t>（</w:t>
      </w:r>
      <w:r>
        <w:rPr>
          <w:b/>
          <w:sz w:val="21"/>
          <w:szCs w:val="21"/>
          <w:lang w:val="en-US" w:bidi="ar"/>
        </w:rPr>
        <w:t>1）一般条款响应表</w:t>
      </w:r>
    </w:p>
    <w:p>
      <w:pPr>
        <w:pStyle w:val="16"/>
        <w:autoSpaceDE w:val="0"/>
        <w:autoSpaceDN w:val="0"/>
        <w:spacing w:before="3"/>
        <w:jc w:val="left"/>
        <w:rPr>
          <w:rFonts w:ascii="宋体" w:hAnsi="宋体" w:cs="宋体"/>
          <w:b/>
          <w:sz w:val="21"/>
          <w:szCs w:val="21"/>
        </w:rPr>
      </w:pPr>
    </w:p>
    <w:tbl>
      <w:tblPr>
        <w:tblStyle w:val="18"/>
        <w:tblW w:w="8654" w:type="dxa"/>
        <w:tblInd w:w="7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0"/>
        <w:gridCol w:w="1715"/>
        <w:gridCol w:w="3204"/>
        <w:gridCol w:w="1890"/>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78"/>
              <w:ind w:left="114" w:right="105"/>
              <w:jc w:val="center"/>
              <w:rPr>
                <w:rFonts w:ascii="宋体" w:hAnsi="宋体" w:cs="宋体"/>
                <w:b/>
                <w:sz w:val="21"/>
                <w:szCs w:val="21"/>
              </w:rPr>
            </w:pPr>
            <w:r>
              <w:rPr>
                <w:rFonts w:hint="eastAsia" w:ascii="宋体" w:hAnsi="宋体" w:cs="宋体"/>
                <w:b/>
                <w:kern w:val="0"/>
                <w:sz w:val="21"/>
                <w:szCs w:val="21"/>
                <w:lang w:bidi="ar"/>
              </w:rPr>
              <w:t>序号</w:t>
            </w:r>
          </w:p>
        </w:tc>
        <w:tc>
          <w:tcPr>
            <w:tcW w:w="171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78"/>
              <w:ind w:left="436"/>
              <w:jc w:val="left"/>
              <w:rPr>
                <w:rFonts w:ascii="宋体" w:hAnsi="宋体" w:cs="宋体"/>
                <w:b/>
                <w:sz w:val="21"/>
                <w:szCs w:val="21"/>
              </w:rPr>
            </w:pPr>
            <w:r>
              <w:rPr>
                <w:rFonts w:hint="eastAsia" w:ascii="宋体" w:hAnsi="宋体" w:cs="宋体"/>
                <w:b/>
                <w:kern w:val="0"/>
                <w:sz w:val="21"/>
                <w:szCs w:val="21"/>
                <w:lang w:bidi="ar"/>
              </w:rPr>
              <w:t>磋商要求</w:t>
            </w:r>
          </w:p>
        </w:tc>
        <w:tc>
          <w:tcPr>
            <w:tcW w:w="320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78"/>
              <w:ind w:left="970"/>
              <w:jc w:val="left"/>
              <w:rPr>
                <w:rFonts w:ascii="宋体" w:hAnsi="宋体" w:cs="宋体"/>
                <w:b/>
                <w:sz w:val="21"/>
                <w:szCs w:val="21"/>
              </w:rPr>
            </w:pPr>
            <w:r>
              <w:rPr>
                <w:rFonts w:hint="eastAsia" w:ascii="宋体" w:hAnsi="宋体" w:cs="宋体"/>
                <w:b/>
                <w:kern w:val="0"/>
                <w:sz w:val="21"/>
                <w:szCs w:val="21"/>
                <w:lang w:bidi="ar"/>
              </w:rPr>
              <w:t>磋商实际参数</w:t>
            </w:r>
          </w:p>
        </w:tc>
        <w:tc>
          <w:tcPr>
            <w:tcW w:w="18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22"/>
              <w:ind w:left="109"/>
              <w:jc w:val="left"/>
              <w:rPr>
                <w:rFonts w:ascii="宋体" w:hAnsi="宋体" w:cs="宋体"/>
                <w:b/>
                <w:sz w:val="21"/>
                <w:szCs w:val="21"/>
              </w:rPr>
            </w:pPr>
            <w:r>
              <w:rPr>
                <w:rFonts w:hint="eastAsia" w:ascii="宋体" w:hAnsi="宋体" w:cs="宋体"/>
                <w:b/>
                <w:spacing w:val="-4"/>
                <w:kern w:val="0"/>
                <w:sz w:val="21"/>
                <w:szCs w:val="21"/>
                <w:lang w:bidi="ar"/>
              </w:rPr>
              <w:t>是否偏离</w:t>
            </w:r>
            <w:r>
              <w:rPr>
                <w:rFonts w:hint="eastAsia" w:ascii="宋体" w:hAnsi="宋体" w:cs="宋体"/>
                <w:b/>
                <w:kern w:val="0"/>
                <w:sz w:val="21"/>
                <w:szCs w:val="21"/>
                <w:lang w:bidi="ar"/>
              </w:rPr>
              <w:t>（无偏离</w:t>
            </w:r>
          </w:p>
          <w:p>
            <w:pPr>
              <w:pStyle w:val="16"/>
              <w:autoSpaceDE w:val="0"/>
              <w:autoSpaceDN w:val="0"/>
              <w:spacing w:before="43"/>
              <w:ind w:left="109"/>
              <w:jc w:val="left"/>
              <w:rPr>
                <w:rFonts w:ascii="宋体" w:hAnsi="宋体" w:cs="宋体"/>
                <w:b/>
                <w:sz w:val="21"/>
                <w:szCs w:val="21"/>
              </w:rPr>
            </w:pPr>
            <w:r>
              <w:rPr>
                <w:rFonts w:ascii="宋体" w:hAnsi="宋体" w:cs="宋体"/>
                <w:b/>
                <w:kern w:val="0"/>
                <w:sz w:val="21"/>
                <w:szCs w:val="21"/>
                <w:lang w:bidi="ar"/>
              </w:rPr>
              <w:t>/正偏离/负偏离）</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78"/>
              <w:ind w:left="158"/>
              <w:jc w:val="left"/>
              <w:rPr>
                <w:rFonts w:ascii="宋体" w:hAnsi="宋体" w:cs="宋体"/>
                <w:b/>
                <w:sz w:val="21"/>
                <w:szCs w:val="21"/>
              </w:rPr>
            </w:pPr>
            <w:r>
              <w:rPr>
                <w:rFonts w:hint="eastAsia" w:ascii="宋体" w:hAnsi="宋体" w:cs="宋体"/>
                <w:b/>
                <w:kern w:val="0"/>
                <w:sz w:val="21"/>
                <w:szCs w:val="21"/>
                <w:lang w:bidi="ar"/>
              </w:rPr>
              <w:t>偏离简述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25"/>
              <w:ind w:left="9"/>
              <w:jc w:val="center"/>
              <w:rPr>
                <w:rFonts w:ascii="宋体" w:hAnsi="宋体" w:cs="宋体"/>
                <w:sz w:val="21"/>
                <w:szCs w:val="21"/>
              </w:rPr>
            </w:pPr>
            <w:r>
              <w:rPr>
                <w:rFonts w:ascii="宋体" w:hAnsi="宋体" w:cs="宋体"/>
                <w:kern w:val="0"/>
                <w:sz w:val="21"/>
                <w:szCs w:val="21"/>
                <w:lang w:bidi="ar"/>
              </w:rPr>
              <w:t>1</w:t>
            </w:r>
          </w:p>
        </w:tc>
        <w:tc>
          <w:tcPr>
            <w:tcW w:w="171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22"/>
              <w:ind w:left="9"/>
              <w:jc w:val="center"/>
              <w:rPr>
                <w:rFonts w:ascii="宋体" w:hAnsi="宋体" w:cs="宋体"/>
                <w:sz w:val="21"/>
                <w:szCs w:val="21"/>
              </w:rPr>
            </w:pPr>
            <w:r>
              <w:rPr>
                <w:rFonts w:ascii="宋体" w:hAnsi="宋体" w:cs="宋体"/>
                <w:kern w:val="0"/>
                <w:sz w:val="21"/>
                <w:szCs w:val="21"/>
                <w:lang w:bidi="ar"/>
              </w:rPr>
              <w:t>2</w:t>
            </w:r>
          </w:p>
        </w:tc>
        <w:tc>
          <w:tcPr>
            <w:tcW w:w="171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23"/>
              <w:ind w:left="9"/>
              <w:jc w:val="center"/>
              <w:rPr>
                <w:rFonts w:ascii="宋体" w:hAnsi="宋体" w:cs="宋体"/>
                <w:sz w:val="21"/>
                <w:szCs w:val="21"/>
              </w:rPr>
            </w:pPr>
            <w:r>
              <w:rPr>
                <w:rFonts w:ascii="宋体" w:hAnsi="宋体" w:cs="宋体"/>
                <w:kern w:val="0"/>
                <w:sz w:val="21"/>
                <w:szCs w:val="21"/>
                <w:lang w:bidi="ar"/>
              </w:rPr>
              <w:t>3</w:t>
            </w:r>
          </w:p>
        </w:tc>
        <w:tc>
          <w:tcPr>
            <w:tcW w:w="171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22"/>
              <w:ind w:left="9"/>
              <w:jc w:val="center"/>
              <w:rPr>
                <w:rFonts w:ascii="宋体" w:hAnsi="宋体" w:cs="宋体"/>
                <w:sz w:val="21"/>
                <w:szCs w:val="21"/>
              </w:rPr>
            </w:pPr>
            <w:r>
              <w:rPr>
                <w:rFonts w:ascii="宋体" w:hAnsi="宋体" w:cs="宋体"/>
                <w:kern w:val="0"/>
                <w:sz w:val="21"/>
                <w:szCs w:val="21"/>
                <w:lang w:bidi="ar"/>
              </w:rPr>
              <w:t>4</w:t>
            </w:r>
          </w:p>
        </w:tc>
        <w:tc>
          <w:tcPr>
            <w:tcW w:w="171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22"/>
              <w:ind w:left="9"/>
              <w:jc w:val="center"/>
              <w:rPr>
                <w:rFonts w:ascii="宋体" w:hAnsi="宋体" w:cs="宋体"/>
                <w:sz w:val="21"/>
                <w:szCs w:val="21"/>
              </w:rPr>
            </w:pPr>
            <w:r>
              <w:rPr>
                <w:rFonts w:ascii="宋体" w:hAnsi="宋体" w:cs="宋体"/>
                <w:kern w:val="0"/>
                <w:sz w:val="21"/>
                <w:szCs w:val="21"/>
                <w:lang w:bidi="ar"/>
              </w:rPr>
              <w:t>5</w:t>
            </w:r>
          </w:p>
        </w:tc>
        <w:tc>
          <w:tcPr>
            <w:tcW w:w="171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22"/>
              <w:ind w:left="9"/>
              <w:jc w:val="center"/>
              <w:rPr>
                <w:rFonts w:ascii="宋体" w:hAnsi="宋体" w:cs="宋体"/>
                <w:sz w:val="21"/>
                <w:szCs w:val="21"/>
              </w:rPr>
            </w:pPr>
            <w:r>
              <w:rPr>
                <w:rFonts w:ascii="宋体" w:hAnsi="宋体" w:cs="宋体"/>
                <w:kern w:val="0"/>
                <w:sz w:val="21"/>
                <w:szCs w:val="21"/>
                <w:lang w:bidi="ar"/>
              </w:rPr>
              <w:t>6</w:t>
            </w:r>
          </w:p>
        </w:tc>
        <w:tc>
          <w:tcPr>
            <w:tcW w:w="171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25"/>
              <w:ind w:left="9"/>
              <w:jc w:val="center"/>
              <w:rPr>
                <w:rFonts w:ascii="宋体" w:hAnsi="宋体" w:cs="宋体"/>
                <w:sz w:val="21"/>
                <w:szCs w:val="21"/>
              </w:rPr>
            </w:pPr>
            <w:r>
              <w:rPr>
                <w:rFonts w:ascii="宋体" w:hAnsi="宋体" w:cs="宋体"/>
                <w:kern w:val="0"/>
                <w:sz w:val="21"/>
                <w:szCs w:val="21"/>
                <w:lang w:bidi="ar"/>
              </w:rPr>
              <w:t>7</w:t>
            </w:r>
          </w:p>
        </w:tc>
        <w:tc>
          <w:tcPr>
            <w:tcW w:w="171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22"/>
              <w:ind w:left="9"/>
              <w:jc w:val="center"/>
              <w:rPr>
                <w:rFonts w:ascii="宋体" w:hAnsi="宋体" w:cs="宋体"/>
                <w:sz w:val="21"/>
                <w:szCs w:val="21"/>
              </w:rPr>
            </w:pPr>
            <w:r>
              <w:rPr>
                <w:rFonts w:ascii="宋体" w:hAnsi="宋体" w:cs="宋体"/>
                <w:kern w:val="0"/>
                <w:sz w:val="21"/>
                <w:szCs w:val="21"/>
                <w:lang w:bidi="ar"/>
              </w:rPr>
              <w:t>8</w:t>
            </w:r>
          </w:p>
        </w:tc>
        <w:tc>
          <w:tcPr>
            <w:tcW w:w="171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22"/>
              <w:ind w:left="9"/>
              <w:jc w:val="center"/>
              <w:rPr>
                <w:rFonts w:ascii="宋体" w:hAnsi="宋体" w:cs="宋体"/>
                <w:sz w:val="21"/>
                <w:szCs w:val="21"/>
              </w:rPr>
            </w:pPr>
            <w:r>
              <w:rPr>
                <w:rFonts w:hint="eastAsia" w:ascii="宋体" w:hAnsi="宋体" w:cs="宋体"/>
                <w:kern w:val="0"/>
                <w:sz w:val="21"/>
                <w:szCs w:val="21"/>
                <w:lang w:bidi="ar"/>
              </w:rPr>
              <w:t>…</w:t>
            </w:r>
          </w:p>
        </w:tc>
        <w:tc>
          <w:tcPr>
            <w:tcW w:w="171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3204"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jc w:val="left"/>
              <w:rPr>
                <w:rFonts w:ascii="宋体" w:hAnsi="宋体" w:cs="宋体"/>
                <w:sz w:val="21"/>
                <w:szCs w:val="21"/>
              </w:rPr>
            </w:pPr>
          </w:p>
        </w:tc>
      </w:tr>
    </w:tbl>
    <w:p>
      <w:pPr>
        <w:spacing w:before="60" w:beforeLines="25" w:after="60" w:afterLines="25" w:line="360" w:lineRule="auto"/>
        <w:ind w:firstLine="420" w:firstLineChars="200"/>
        <w:rPr>
          <w:sz w:val="21"/>
          <w:szCs w:val="21"/>
        </w:rPr>
      </w:pPr>
    </w:p>
    <w:p>
      <w:pPr>
        <w:spacing w:before="60" w:beforeLines="25" w:after="60" w:afterLines="25" w:line="360" w:lineRule="auto"/>
        <w:ind w:firstLine="420" w:firstLineChars="200"/>
        <w:rPr>
          <w:sz w:val="21"/>
          <w:szCs w:val="21"/>
        </w:rPr>
      </w:pPr>
      <w:r>
        <w:rPr>
          <w:rFonts w:hint="eastAsia"/>
          <w:sz w:val="21"/>
          <w:szCs w:val="21"/>
          <w:lang w:val="en-US" w:bidi="ar"/>
        </w:rPr>
        <w:t>注：</w:t>
      </w:r>
    </w:p>
    <w:p>
      <w:pPr>
        <w:spacing w:before="60" w:beforeLines="25" w:after="60" w:afterLines="25" w:line="360" w:lineRule="auto"/>
        <w:ind w:left="440" w:leftChars="200" w:firstLine="420" w:firstLineChars="200"/>
        <w:rPr>
          <w:sz w:val="21"/>
          <w:szCs w:val="21"/>
        </w:rPr>
      </w:pPr>
      <w:r>
        <w:rPr>
          <w:sz w:val="21"/>
          <w:szCs w:val="21"/>
          <w:lang w:val="en-US" w:bidi="ar"/>
        </w:rPr>
        <w:t xml:space="preserve">1.响应供应商必须对应磋商文件“第二部分 </w:t>
      </w:r>
      <w:r>
        <w:rPr>
          <w:rFonts w:hint="eastAsia"/>
          <w:sz w:val="21"/>
          <w:szCs w:val="21"/>
          <w:lang w:val="en-US" w:bidi="ar"/>
        </w:rPr>
        <w:t>采购项目内容”的内容逐条响应。如有缺漏，缺漏项视同不符合磋商要求。</w:t>
      </w:r>
    </w:p>
    <w:p>
      <w:pPr>
        <w:spacing w:before="60" w:beforeLines="25" w:after="60" w:afterLines="25" w:line="360" w:lineRule="auto"/>
        <w:ind w:left="440" w:leftChars="200" w:firstLine="420" w:firstLineChars="200"/>
        <w:rPr>
          <w:sz w:val="21"/>
          <w:szCs w:val="21"/>
        </w:rPr>
      </w:pPr>
      <w:r>
        <w:rPr>
          <w:sz w:val="21"/>
          <w:szCs w:val="21"/>
          <w:lang w:val="en-US" w:bidi="ar"/>
        </w:rPr>
        <w:t>2.响应供应商采购需求应具体、明确，含糊不清、不确切或伪造、变造证明材料的，按照不完全响应或者完全不响应处理。构成提供虚假材料的，移送监管部门查处。</w:t>
      </w:r>
    </w:p>
    <w:p>
      <w:pPr>
        <w:spacing w:before="60" w:beforeLines="25" w:after="60" w:afterLines="25" w:line="360" w:lineRule="auto"/>
        <w:ind w:left="440" w:leftChars="200" w:firstLine="420" w:firstLineChars="200"/>
        <w:rPr>
          <w:sz w:val="21"/>
          <w:szCs w:val="21"/>
        </w:rPr>
      </w:pPr>
      <w:r>
        <w:rPr>
          <w:sz w:val="21"/>
          <w:szCs w:val="21"/>
          <w:lang w:val="en-US" w:bidi="ar"/>
        </w:rPr>
        <w:t>3.本表内容不得擅自修改。</w:t>
      </w:r>
    </w:p>
    <w:p>
      <w:pPr>
        <w:pStyle w:val="16"/>
        <w:tabs>
          <w:tab w:val="left" w:pos="1411"/>
        </w:tabs>
        <w:autoSpaceDE w:val="0"/>
        <w:autoSpaceDN w:val="0"/>
        <w:spacing w:before="59"/>
        <w:ind w:left="1411"/>
        <w:jc w:val="left"/>
        <w:rPr>
          <w:rFonts w:ascii="宋体" w:hAnsi="宋体" w:cs="宋体"/>
          <w:sz w:val="21"/>
          <w:szCs w:val="21"/>
        </w:rPr>
      </w:pPr>
    </w:p>
    <w:p>
      <w:pPr>
        <w:pStyle w:val="16"/>
        <w:tabs>
          <w:tab w:val="left" w:pos="1411"/>
        </w:tabs>
        <w:autoSpaceDE w:val="0"/>
        <w:autoSpaceDN w:val="0"/>
        <w:spacing w:before="59"/>
        <w:ind w:left="1411"/>
        <w:jc w:val="left"/>
        <w:rPr>
          <w:rFonts w:ascii="宋体" w:hAnsi="宋体" w:cs="宋体"/>
          <w:sz w:val="21"/>
          <w:szCs w:val="21"/>
        </w:rPr>
      </w:pPr>
    </w:p>
    <w:p>
      <w:pPr>
        <w:pStyle w:val="16"/>
        <w:tabs>
          <w:tab w:val="left" w:pos="1411"/>
        </w:tabs>
        <w:autoSpaceDE w:val="0"/>
        <w:autoSpaceDN w:val="0"/>
        <w:spacing w:before="59"/>
        <w:ind w:left="1411"/>
        <w:jc w:val="left"/>
        <w:rPr>
          <w:rFonts w:ascii="宋体" w:hAnsi="宋体" w:cs="宋体"/>
          <w:sz w:val="21"/>
          <w:szCs w:val="21"/>
        </w:rPr>
      </w:pPr>
    </w:p>
    <w:p>
      <w:pPr>
        <w:pStyle w:val="16"/>
        <w:tabs>
          <w:tab w:val="left" w:pos="1411"/>
        </w:tabs>
        <w:autoSpaceDE w:val="0"/>
        <w:autoSpaceDN w:val="0"/>
        <w:spacing w:before="59"/>
        <w:ind w:left="1411"/>
        <w:jc w:val="left"/>
        <w:rPr>
          <w:rFonts w:ascii="宋体" w:hAnsi="宋体" w:cs="宋体"/>
          <w:sz w:val="21"/>
          <w:szCs w:val="21"/>
        </w:rPr>
      </w:pPr>
    </w:p>
    <w:p>
      <w:pPr>
        <w:pStyle w:val="16"/>
        <w:tabs>
          <w:tab w:val="left" w:pos="1411"/>
        </w:tabs>
        <w:autoSpaceDE w:val="0"/>
        <w:autoSpaceDN w:val="0"/>
        <w:spacing w:before="59"/>
        <w:ind w:left="1411"/>
        <w:jc w:val="left"/>
        <w:rPr>
          <w:rFonts w:ascii="宋体" w:hAnsi="宋体" w:cs="宋体"/>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pPr>
    </w:p>
    <w:p>
      <w:pPr>
        <w:pStyle w:val="4"/>
        <w:rPr>
          <w:sz w:val="21"/>
          <w:szCs w:val="21"/>
        </w:rPr>
      </w:pPr>
    </w:p>
    <w:p>
      <w:pPr>
        <w:rPr>
          <w:sz w:val="21"/>
          <w:szCs w:val="21"/>
        </w:rPr>
      </w:pPr>
    </w:p>
    <w:p>
      <w:pPr>
        <w:pStyle w:val="4"/>
        <w:jc w:val="both"/>
        <w:rPr>
          <w:sz w:val="21"/>
          <w:szCs w:val="21"/>
        </w:rPr>
      </w:pPr>
    </w:p>
    <w:p>
      <w:pPr>
        <w:pStyle w:val="6"/>
        <w:tabs>
          <w:tab w:val="left" w:pos="886"/>
          <w:tab w:val="left" w:pos="887"/>
        </w:tabs>
        <w:spacing w:before="72"/>
        <w:ind w:left="0"/>
      </w:pPr>
      <w:bookmarkStart w:id="346" w:name="_Toc5399"/>
      <w:bookmarkStart w:id="347" w:name="_Toc29427"/>
      <w:bookmarkStart w:id="348" w:name="_Toc16262"/>
      <w:bookmarkStart w:id="349" w:name="_Toc13424"/>
      <w:bookmarkStart w:id="350" w:name="_Toc4255"/>
      <w:bookmarkStart w:id="351" w:name="_Toc31533"/>
      <w:bookmarkStart w:id="352" w:name="_Toc5380"/>
      <w:bookmarkStart w:id="353" w:name="_Toc30382"/>
      <w:r>
        <w:rPr>
          <w:lang w:val="en-US"/>
        </w:rPr>
        <w:t>4.2</w:t>
      </w:r>
      <w:r>
        <w:rPr>
          <w:rFonts w:hint="eastAsia"/>
        </w:rPr>
        <w:t>组织实施方案</w:t>
      </w:r>
      <w:bookmarkEnd w:id="346"/>
      <w:bookmarkEnd w:id="347"/>
      <w:bookmarkEnd w:id="348"/>
      <w:bookmarkEnd w:id="349"/>
      <w:bookmarkEnd w:id="350"/>
      <w:bookmarkEnd w:id="351"/>
      <w:bookmarkEnd w:id="352"/>
      <w:bookmarkEnd w:id="353"/>
    </w:p>
    <w:p>
      <w:pPr>
        <w:pStyle w:val="8"/>
        <w:spacing w:before="7"/>
      </w:pPr>
    </w:p>
    <w:p>
      <w:pPr>
        <w:pStyle w:val="8"/>
        <w:spacing w:line="410" w:lineRule="auto"/>
        <w:ind w:right="446" w:firstLine="420"/>
      </w:pPr>
      <w:r>
        <w:rPr>
          <w:rFonts w:hint="eastAsia"/>
          <w:spacing w:val="-8"/>
        </w:rPr>
        <w:t>供应商应按磋商文件要求的内容和顺序，对完成整个项目提出相应的实施方案。对含糊不清或欠具</w:t>
      </w:r>
      <w:r>
        <w:rPr>
          <w:rFonts w:hint="eastAsia"/>
          <w:spacing w:val="-5"/>
        </w:rPr>
        <w:t>体明确之处，评委会可视为报价人履约能力不足或响应不全处理。组织实施方案的内容应</w:t>
      </w:r>
      <w:r>
        <w:rPr>
          <w:rFonts w:hint="eastAsia"/>
        </w:rPr>
        <w:t>包括但不限于以下内容：</w:t>
      </w:r>
    </w:p>
    <w:p>
      <w:pPr>
        <w:spacing w:line="360" w:lineRule="auto"/>
        <w:ind w:firstLine="204" w:firstLineChars="100"/>
        <w:rPr>
          <w:sz w:val="21"/>
          <w:szCs w:val="21"/>
        </w:rPr>
      </w:pPr>
      <w:r>
        <w:rPr>
          <w:spacing w:val="-3"/>
          <w:sz w:val="21"/>
          <w:szCs w:val="21"/>
          <w:lang w:val="en-US"/>
        </w:rPr>
        <w:t>1</w:t>
      </w:r>
      <w:r>
        <w:rPr>
          <w:rFonts w:hint="eastAsia"/>
          <w:spacing w:val="-3"/>
          <w:sz w:val="21"/>
          <w:szCs w:val="21"/>
        </w:rPr>
        <w:t>）</w:t>
      </w:r>
    </w:p>
    <w:p>
      <w:pPr>
        <w:spacing w:line="360" w:lineRule="auto"/>
        <w:ind w:firstLine="204" w:firstLineChars="100"/>
        <w:rPr>
          <w:sz w:val="21"/>
          <w:szCs w:val="21"/>
        </w:rPr>
      </w:pPr>
      <w:r>
        <w:rPr>
          <w:spacing w:val="-3"/>
          <w:sz w:val="21"/>
          <w:szCs w:val="21"/>
          <w:lang w:val="en-US"/>
        </w:rPr>
        <w:t>2</w:t>
      </w:r>
      <w:r>
        <w:rPr>
          <w:rFonts w:hint="eastAsia"/>
          <w:spacing w:val="-3"/>
          <w:sz w:val="21"/>
          <w:szCs w:val="21"/>
        </w:rPr>
        <w:t>）</w:t>
      </w:r>
    </w:p>
    <w:p>
      <w:pPr>
        <w:pStyle w:val="43"/>
        <w:tabs>
          <w:tab w:val="left" w:pos="1097"/>
        </w:tabs>
        <w:spacing w:before="120" w:beforeLines="50" w:after="120" w:afterLines="50" w:line="360" w:lineRule="auto"/>
        <w:ind w:left="0" w:firstLine="204" w:firstLineChars="100"/>
        <w:rPr>
          <w:kern w:val="2"/>
          <w:sz w:val="21"/>
          <w:szCs w:val="21"/>
        </w:rPr>
      </w:pPr>
      <w:r>
        <w:rPr>
          <w:spacing w:val="-3"/>
          <w:sz w:val="21"/>
          <w:szCs w:val="21"/>
          <w:lang w:val="en-US"/>
        </w:rPr>
        <w:t>3</w:t>
      </w:r>
      <w:r>
        <w:rPr>
          <w:rFonts w:hint="eastAsia"/>
          <w:spacing w:val="-3"/>
          <w:sz w:val="21"/>
          <w:szCs w:val="21"/>
        </w:rPr>
        <w:t>）</w:t>
      </w:r>
    </w:p>
    <w:p>
      <w:pPr>
        <w:pStyle w:val="43"/>
        <w:widowControl/>
        <w:numPr>
          <w:ilvl w:val="255"/>
          <w:numId w:val="0"/>
        </w:numPr>
        <w:tabs>
          <w:tab w:val="left" w:pos="1097"/>
        </w:tabs>
        <w:autoSpaceDE/>
        <w:autoSpaceDN/>
        <w:spacing w:before="120" w:beforeLines="50" w:after="120" w:afterLines="50" w:line="360" w:lineRule="auto"/>
        <w:ind w:left="750" w:leftChars="100"/>
        <w:rPr>
          <w:kern w:val="2"/>
          <w:sz w:val="21"/>
          <w:szCs w:val="21"/>
        </w:rPr>
      </w:pPr>
      <w:r>
        <w:rPr>
          <w:szCs w:val="21"/>
          <w:lang w:val="en-US"/>
        </w:rPr>
        <w:t>4）</w:t>
      </w:r>
    </w:p>
    <w:p>
      <w:pPr>
        <w:pStyle w:val="43"/>
        <w:widowControl/>
        <w:numPr>
          <w:ilvl w:val="255"/>
          <w:numId w:val="0"/>
        </w:numPr>
        <w:tabs>
          <w:tab w:val="left" w:pos="1097"/>
        </w:tabs>
        <w:autoSpaceDE/>
        <w:autoSpaceDN/>
        <w:spacing w:before="120" w:beforeLines="50" w:after="120" w:afterLines="50" w:line="360" w:lineRule="auto"/>
        <w:ind w:left="750" w:leftChars="100"/>
        <w:rPr>
          <w:kern w:val="2"/>
          <w:sz w:val="21"/>
          <w:szCs w:val="21"/>
        </w:rPr>
      </w:pPr>
      <w:r>
        <w:rPr>
          <w:kern w:val="2"/>
          <w:sz w:val="21"/>
          <w:szCs w:val="21"/>
          <w:lang w:val="en-US"/>
        </w:rPr>
        <w:t>5）</w:t>
      </w:r>
    </w:p>
    <w:p>
      <w:pPr>
        <w:pStyle w:val="43"/>
        <w:widowControl/>
        <w:numPr>
          <w:ilvl w:val="0"/>
          <w:numId w:val="4"/>
        </w:numPr>
        <w:tabs>
          <w:tab w:val="left" w:pos="1097"/>
        </w:tabs>
        <w:autoSpaceDE/>
        <w:autoSpaceDN/>
        <w:spacing w:before="120" w:beforeLines="50" w:after="120" w:afterLines="50" w:line="360" w:lineRule="auto"/>
        <w:ind w:left="0" w:firstLine="204" w:firstLineChars="100"/>
        <w:rPr>
          <w:sz w:val="21"/>
          <w:szCs w:val="21"/>
        </w:rPr>
      </w:pPr>
      <w:r>
        <w:rPr>
          <w:rFonts w:hint="eastAsia"/>
          <w:spacing w:val="-3"/>
          <w:sz w:val="21"/>
          <w:szCs w:val="21"/>
          <w:lang w:val="en-US"/>
        </w:rPr>
        <w:t>供应商认为必要的其它内容。</w:t>
      </w:r>
    </w:p>
    <w:p>
      <w:pPr>
        <w:pStyle w:val="8"/>
      </w:pPr>
    </w:p>
    <w:p>
      <w:pPr>
        <w:pStyle w:val="8"/>
        <w:spacing w:before="5"/>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firstLine="2520" w:firstLineChars="120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sectPr>
          <w:pgSz w:w="11910" w:h="16840"/>
          <w:pgMar w:top="1440" w:right="1080" w:bottom="1440" w:left="1080" w:header="945" w:footer="893" w:gutter="0"/>
          <w:cols w:space="720" w:num="1"/>
        </w:sect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pStyle w:val="4"/>
        <w:widowControl/>
        <w:spacing w:before="60" w:after="60" w:afterLines="25" w:line="360" w:lineRule="auto"/>
        <w:ind w:right="96"/>
        <w:rPr>
          <w:sz w:val="21"/>
          <w:szCs w:val="21"/>
        </w:rPr>
      </w:pPr>
      <w:bookmarkStart w:id="354" w:name="_Toc23750"/>
      <w:bookmarkStart w:id="355" w:name="_Toc20491"/>
      <w:bookmarkStart w:id="356" w:name="_Toc15549"/>
      <w:bookmarkStart w:id="357" w:name="_Toc19961_WPSOffice_Level2"/>
      <w:bookmarkStart w:id="358" w:name="_Toc17283"/>
      <w:bookmarkStart w:id="359" w:name="_Toc2517"/>
      <w:bookmarkStart w:id="360" w:name="_Toc8540"/>
      <w:bookmarkStart w:id="361" w:name="_Toc1625"/>
      <w:r>
        <w:rPr>
          <w:rFonts w:hint="eastAsia"/>
          <w:sz w:val="21"/>
          <w:szCs w:val="21"/>
        </w:rPr>
        <w:t>五、价格部分</w:t>
      </w:r>
      <w:bookmarkEnd w:id="354"/>
      <w:bookmarkEnd w:id="355"/>
      <w:bookmarkEnd w:id="356"/>
      <w:bookmarkEnd w:id="357"/>
      <w:bookmarkEnd w:id="358"/>
      <w:bookmarkEnd w:id="359"/>
      <w:bookmarkEnd w:id="360"/>
      <w:bookmarkEnd w:id="361"/>
    </w:p>
    <w:p>
      <w:pPr>
        <w:tabs>
          <w:tab w:val="left" w:pos="729"/>
        </w:tabs>
        <w:spacing w:before="60" w:beforeLines="25" w:after="60" w:afterLines="25" w:line="360" w:lineRule="auto"/>
        <w:rPr>
          <w:b/>
          <w:sz w:val="21"/>
          <w:szCs w:val="21"/>
          <w:lang w:val="en-US"/>
        </w:rPr>
      </w:pPr>
      <w:bookmarkStart w:id="362" w:name="_Toc10404_WPSOffice_Level3"/>
      <w:r>
        <w:rPr>
          <w:b/>
          <w:sz w:val="21"/>
          <w:szCs w:val="21"/>
          <w:lang w:val="en-US" w:bidi="ar"/>
        </w:rPr>
        <w:t xml:space="preserve">5.1 </w:t>
      </w:r>
      <w:bookmarkStart w:id="404" w:name="_GoBack"/>
      <w:bookmarkEnd w:id="404"/>
      <w:r>
        <w:rPr>
          <w:rFonts w:hint="eastAsia"/>
          <w:b/>
          <w:sz w:val="21"/>
          <w:szCs w:val="21"/>
          <w:lang w:val="en-US" w:bidi="ar"/>
        </w:rPr>
        <w:t>开标</w:t>
      </w:r>
      <w:r>
        <w:rPr>
          <w:b/>
          <w:sz w:val="21"/>
          <w:szCs w:val="21"/>
          <w:lang w:val="en-US" w:bidi="ar"/>
        </w:rPr>
        <w:t>/报价一览表</w:t>
      </w:r>
      <w:bookmarkEnd w:id="362"/>
    </w:p>
    <w:p>
      <w:pPr>
        <w:pStyle w:val="16"/>
        <w:autoSpaceDE w:val="0"/>
        <w:autoSpaceDN w:val="0"/>
        <w:spacing w:before="8"/>
        <w:jc w:val="left"/>
        <w:rPr>
          <w:rFonts w:ascii="宋体" w:hAnsi="宋体" w:cs="宋体"/>
          <w:b/>
          <w:sz w:val="21"/>
          <w:szCs w:val="21"/>
        </w:rPr>
      </w:pPr>
    </w:p>
    <w:tbl>
      <w:tblPr>
        <w:tblStyle w:val="18"/>
        <w:tblW w:w="9359" w:type="dxa"/>
        <w:tblInd w:w="3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7"/>
        <w:gridCol w:w="7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1727"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1"/>
              <w:jc w:val="center"/>
              <w:rPr>
                <w:rFonts w:ascii="宋体" w:hAnsi="宋体" w:cs="宋体"/>
                <w:b/>
                <w:sz w:val="21"/>
                <w:szCs w:val="21"/>
              </w:rPr>
            </w:pPr>
          </w:p>
          <w:p>
            <w:pPr>
              <w:pStyle w:val="16"/>
              <w:autoSpaceDE w:val="0"/>
              <w:autoSpaceDN w:val="0"/>
              <w:ind w:right="554"/>
              <w:jc w:val="center"/>
              <w:rPr>
                <w:rFonts w:ascii="宋体" w:hAnsi="宋体" w:cs="宋体"/>
                <w:sz w:val="21"/>
                <w:szCs w:val="21"/>
              </w:rPr>
            </w:pPr>
            <w:r>
              <w:rPr>
                <w:rFonts w:ascii="宋体" w:hAnsi="宋体" w:cs="宋体"/>
                <w:kern w:val="0"/>
                <w:sz w:val="21"/>
                <w:szCs w:val="21"/>
                <w:lang w:bidi="ar"/>
              </w:rPr>
              <w:t xml:space="preserve">   报价项目</w:t>
            </w:r>
          </w:p>
        </w:tc>
        <w:tc>
          <w:tcPr>
            <w:tcW w:w="7632" w:type="dxa"/>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11"/>
              <w:jc w:val="center"/>
              <w:rPr>
                <w:rFonts w:ascii="宋体" w:hAnsi="宋体" w:cs="宋体"/>
                <w:b/>
                <w:sz w:val="21"/>
                <w:szCs w:val="21"/>
              </w:rPr>
            </w:pPr>
          </w:p>
          <w:p>
            <w:pPr>
              <w:pStyle w:val="16"/>
              <w:autoSpaceDE w:val="0"/>
              <w:autoSpaceDN w:val="0"/>
              <w:ind w:left="3272" w:right="3261"/>
              <w:jc w:val="center"/>
              <w:rPr>
                <w:rFonts w:ascii="宋体" w:hAnsi="宋体" w:cs="宋体"/>
                <w:sz w:val="21"/>
                <w:szCs w:val="21"/>
              </w:rPr>
            </w:pPr>
            <w:r>
              <w:rPr>
                <w:rFonts w:hint="eastAsia" w:ascii="宋体" w:hAnsi="宋体" w:cs="宋体"/>
                <w:kern w:val="0"/>
                <w:sz w:val="21"/>
                <w:szCs w:val="21"/>
                <w:lang w:bidi="ar"/>
              </w:rPr>
              <w:t>折率（</w:t>
            </w:r>
            <w:r>
              <w:rPr>
                <w:rFonts w:ascii="宋体" w:hAnsi="宋体" w:cs="宋体"/>
                <w:kern w:val="0"/>
                <w:sz w:val="21"/>
                <w:szCs w:val="21"/>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172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autoSpaceDE w:val="0"/>
              <w:autoSpaceDN w:val="0"/>
              <w:spacing w:before="1"/>
              <w:ind w:right="535"/>
              <w:jc w:val="center"/>
              <w:rPr>
                <w:rFonts w:ascii="宋体" w:hAnsi="宋体" w:cs="宋体"/>
                <w:sz w:val="21"/>
                <w:szCs w:val="21"/>
              </w:rPr>
            </w:pPr>
            <w:r>
              <w:rPr>
                <w:rFonts w:ascii="宋体" w:hAnsi="宋体" w:cs="宋体"/>
                <w:kern w:val="0"/>
                <w:sz w:val="21"/>
                <w:szCs w:val="21"/>
                <w:lang w:bidi="ar"/>
              </w:rPr>
              <w:t xml:space="preserve">  总报价</w:t>
            </w:r>
          </w:p>
        </w:tc>
        <w:tc>
          <w:tcPr>
            <w:tcW w:w="763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autoSpaceDE w:val="0"/>
              <w:autoSpaceDN w:val="0"/>
              <w:jc w:val="center"/>
              <w:rPr>
                <w:rFonts w:ascii="宋体" w:hAnsi="宋体" w:cs="宋体"/>
                <w:b/>
                <w:sz w:val="21"/>
                <w:szCs w:val="21"/>
              </w:rPr>
            </w:pPr>
          </w:p>
          <w:p>
            <w:pPr>
              <w:adjustRightInd w:val="0"/>
              <w:spacing w:before="93" w:line="360" w:lineRule="auto"/>
              <w:ind w:right="-20" w:firstLine="102" w:firstLineChars="49"/>
              <w:rPr>
                <w:sz w:val="21"/>
                <w:szCs w:val="21"/>
                <w:u w:val="single"/>
                <w:lang w:val="en-US"/>
              </w:rPr>
            </w:pPr>
            <w:r>
              <w:rPr>
                <w:rFonts w:hint="eastAsia"/>
                <w:sz w:val="21"/>
                <w:szCs w:val="21"/>
              </w:rPr>
              <w:t>大写：百分之</w:t>
            </w:r>
            <w:r>
              <w:rPr>
                <w:sz w:val="21"/>
                <w:szCs w:val="21"/>
                <w:u w:val="single"/>
              </w:rPr>
              <w:t xml:space="preserve">    </w:t>
            </w:r>
            <w:r>
              <w:rPr>
                <w:sz w:val="21"/>
                <w:szCs w:val="21"/>
                <w:u w:val="single"/>
                <w:lang w:val="en-US"/>
              </w:rPr>
              <w:t xml:space="preserve">      </w:t>
            </w:r>
          </w:p>
          <w:p>
            <w:pPr>
              <w:adjustRightInd w:val="0"/>
              <w:spacing w:before="93" w:line="360" w:lineRule="auto"/>
              <w:ind w:right="-20" w:firstLine="102" w:firstLineChars="49"/>
              <w:rPr>
                <w:kern w:val="2"/>
                <w:sz w:val="21"/>
                <w:szCs w:val="21"/>
              </w:rPr>
            </w:pPr>
            <w:r>
              <w:rPr>
                <w:rFonts w:hint="eastAsia"/>
                <w:sz w:val="21"/>
                <w:szCs w:val="21"/>
              </w:rPr>
              <w:t>小写：</w:t>
            </w:r>
            <w:r>
              <w:rPr>
                <w:sz w:val="21"/>
                <w:szCs w:val="21"/>
                <w:u w:val="single"/>
              </w:rPr>
              <w:t xml:space="preserve">    </w:t>
            </w:r>
            <w:r>
              <w:rPr>
                <w:sz w:val="21"/>
                <w:szCs w:val="21"/>
                <w:u w:val="single"/>
                <w:lang w:val="en-US"/>
              </w:rPr>
              <w:t xml:space="preserve">      </w:t>
            </w:r>
            <w:r>
              <w:rPr>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9359"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6"/>
              <w:autoSpaceDE w:val="0"/>
              <w:autoSpaceDN w:val="0"/>
              <w:spacing w:before="9"/>
              <w:jc w:val="left"/>
              <w:rPr>
                <w:rFonts w:ascii="宋体" w:hAnsi="宋体" w:cs="宋体"/>
                <w:b/>
                <w:sz w:val="21"/>
                <w:szCs w:val="21"/>
              </w:rPr>
            </w:pPr>
          </w:p>
          <w:p>
            <w:pPr>
              <w:pStyle w:val="16"/>
              <w:autoSpaceDE w:val="0"/>
              <w:autoSpaceDN w:val="0"/>
              <w:ind w:right="2340" w:firstLine="1470" w:firstLineChars="700"/>
              <w:rPr>
                <w:rFonts w:ascii="宋体" w:hAnsi="宋体" w:cs="宋体"/>
                <w:sz w:val="21"/>
                <w:szCs w:val="21"/>
              </w:rPr>
            </w:pPr>
            <w:r>
              <w:rPr>
                <w:rFonts w:hint="eastAsia" w:ascii="宋体" w:hAnsi="宋体" w:cs="宋体"/>
                <w:kern w:val="0"/>
                <w:sz w:val="21"/>
                <w:szCs w:val="21"/>
                <w:lang w:bidi="ar"/>
              </w:rPr>
              <w:t>备注：详细内容见《明细报价表》（如有，格式自拟）</w:t>
            </w:r>
          </w:p>
        </w:tc>
      </w:tr>
    </w:tbl>
    <w:p>
      <w:pPr>
        <w:spacing w:before="60" w:beforeLines="25" w:after="60" w:afterLines="25" w:line="360" w:lineRule="auto"/>
        <w:ind w:firstLine="420" w:firstLineChars="200"/>
        <w:rPr>
          <w:sz w:val="21"/>
          <w:szCs w:val="21"/>
        </w:rPr>
      </w:pPr>
      <w:r>
        <w:rPr>
          <w:rFonts w:hint="eastAsia"/>
          <w:sz w:val="21"/>
          <w:szCs w:val="21"/>
          <w:lang w:val="en-US" w:bidi="ar"/>
        </w:rPr>
        <w:t>注：</w:t>
      </w:r>
      <w:r>
        <w:rPr>
          <w:sz w:val="21"/>
          <w:szCs w:val="21"/>
          <w:lang w:val="en-US" w:bidi="ar"/>
        </w:rPr>
        <w:t>1.供应商须按要求填写所有信息，不得随意更改本表格式。</w:t>
      </w:r>
    </w:p>
    <w:p>
      <w:pPr>
        <w:spacing w:before="60" w:beforeLines="25" w:after="60" w:afterLines="25" w:line="360" w:lineRule="auto"/>
        <w:ind w:left="1090" w:leftChars="400" w:hanging="210" w:hangingChars="100"/>
        <w:rPr>
          <w:sz w:val="21"/>
          <w:szCs w:val="21"/>
          <w:lang w:val="en-US" w:bidi="ar"/>
        </w:rPr>
      </w:pPr>
      <w:r>
        <w:rPr>
          <w:sz w:val="21"/>
          <w:szCs w:val="21"/>
          <w:lang w:val="en-US" w:bidi="ar"/>
        </w:rPr>
        <w:t>2.</w:t>
      </w:r>
      <w:r>
        <w:rPr>
          <w:rFonts w:hint="eastAsia"/>
          <w:sz w:val="21"/>
          <w:szCs w:val="21"/>
          <w:lang w:val="en-US"/>
        </w:rPr>
        <w:t>本项目以预算金额人民币壹佰贰拾叁万壹仟肆佰捌拾壹元伍角玖分（¥1231481.59）作为基准价，本项目采用折率进行报价，且折率≤</w:t>
      </w:r>
      <w:r>
        <w:rPr>
          <w:sz w:val="21"/>
          <w:szCs w:val="21"/>
          <w:lang w:val="en-US"/>
        </w:rPr>
        <w:t>100.00%。供应商的报价折率必须小于或等于本工程的最高磋商限价折率，否则视为无效响应。磋商小组认为供应商的报价明显低于其他通过资格性符合性审查供应商的报价，有可能影响产品质量或者不能诚信履约的，磋商小组应当要求其在评审现场立即提供书面说明，并同时提交相关证明材料包括但不限于综合单价分析表、主要材料近三个月内的采购合同、人工费不低于佛山市最新的最低工资标准等资料，最终由磋商小组现场评定；供应商不能证明其报价合理性的，磋商小组应当将其作为无效响应处理</w:t>
      </w:r>
      <w:r>
        <w:rPr>
          <w:rFonts w:hint="eastAsia"/>
          <w:sz w:val="21"/>
          <w:szCs w:val="21"/>
          <w:lang w:val="en-US" w:bidi="ar"/>
        </w:rPr>
        <w:t>。</w:t>
      </w:r>
    </w:p>
    <w:p>
      <w:pPr>
        <w:spacing w:before="60" w:beforeLines="25" w:after="60" w:afterLines="25" w:line="360" w:lineRule="auto"/>
        <w:ind w:left="1091" w:leftChars="400" w:hanging="211" w:hangingChars="100"/>
        <w:rPr>
          <w:b/>
          <w:bCs/>
          <w:sz w:val="21"/>
          <w:szCs w:val="21"/>
          <w:lang w:val="en-US" w:bidi="ar"/>
        </w:rPr>
      </w:pPr>
      <w:r>
        <w:rPr>
          <w:rFonts w:hint="eastAsia"/>
          <w:b/>
          <w:bCs/>
          <w:sz w:val="21"/>
          <w:szCs w:val="21"/>
          <w:lang w:val="en-US" w:bidi="ar"/>
        </w:rPr>
        <w:t>注：本项目报价已包括绿色施工安全防护措施费57506.78元。绿色施工安全防护措施费为本竞争性磋商文件固定金额，不列入磋商范围（不得下浮），并计入响应报价中，结算时以上费用不作任何调整。</w:t>
      </w:r>
    </w:p>
    <w:p>
      <w:pPr>
        <w:spacing w:before="60" w:beforeLines="25" w:after="60" w:afterLines="25" w:line="360" w:lineRule="auto"/>
        <w:ind w:left="1090" w:leftChars="400" w:hanging="210" w:hangingChars="100"/>
        <w:rPr>
          <w:sz w:val="21"/>
          <w:szCs w:val="21"/>
          <w:lang w:val="en-US" w:bidi="ar"/>
        </w:rPr>
      </w:pPr>
      <w:r>
        <w:rPr>
          <w:sz w:val="21"/>
          <w:szCs w:val="21"/>
          <w:lang w:val="en-US" w:bidi="ar"/>
        </w:rPr>
        <w:t>3.本项目以综合单价包干，措施费包干。包工、包料、包质量、包安全、包环保、包调试、包验收等。成交供应商报价是全部费用，包括分部分项工程费、措施项目费、其他项目费、规费、利润和税金、材料设备的市场涨价风险等。</w:t>
      </w:r>
    </w:p>
    <w:p>
      <w:pPr>
        <w:spacing w:before="60" w:beforeLines="25" w:after="60" w:afterLines="25" w:line="360" w:lineRule="auto"/>
        <w:ind w:left="1090" w:leftChars="400" w:hanging="210" w:hangingChars="100"/>
        <w:rPr>
          <w:sz w:val="21"/>
          <w:szCs w:val="21"/>
          <w:lang w:val="en-US" w:bidi="ar"/>
        </w:rPr>
      </w:pPr>
      <w:r>
        <w:rPr>
          <w:sz w:val="21"/>
          <w:szCs w:val="21"/>
          <w:lang w:val="en-US" w:bidi="ar"/>
        </w:rPr>
        <w:t>4.此表是响应文件的必要文件，是响应文件的组成部分，还应另附一份并与优惠声明（若有）封装在一个信封中，作为唱标之用。</w:t>
      </w:r>
    </w:p>
    <w:p>
      <w:pPr>
        <w:spacing w:before="60" w:beforeLines="25" w:after="60" w:afterLines="25" w:line="360" w:lineRule="auto"/>
        <w:ind w:left="1091" w:leftChars="400" w:hanging="211" w:hangingChars="100"/>
        <w:rPr>
          <w:b/>
          <w:bCs/>
          <w:sz w:val="21"/>
          <w:szCs w:val="21"/>
          <w:lang w:val="en-US" w:bidi="ar"/>
        </w:rPr>
      </w:pPr>
      <w:r>
        <w:rPr>
          <w:b/>
          <w:bCs/>
          <w:sz w:val="21"/>
          <w:szCs w:val="21"/>
          <w:lang w:val="en-US" w:bidi="ar"/>
        </w:rPr>
        <w:t xml:space="preserve">5.中文大写金额用汉字，如壹、贰、叁、肆、伍、陆、柒、捌、玖、拾、佰、仟、万、亿、元、 </w:t>
      </w:r>
    </w:p>
    <w:p>
      <w:pPr>
        <w:spacing w:before="60" w:beforeLines="25" w:after="60" w:afterLines="25" w:line="360" w:lineRule="auto"/>
        <w:ind w:left="1091" w:leftChars="400" w:hanging="211" w:hangingChars="100"/>
        <w:rPr>
          <w:b/>
          <w:bCs/>
          <w:sz w:val="21"/>
          <w:szCs w:val="21"/>
          <w:lang w:val="en-US"/>
        </w:rPr>
      </w:pPr>
      <w:r>
        <w:rPr>
          <w:rFonts w:hint="eastAsia"/>
          <w:b/>
          <w:bCs/>
          <w:sz w:val="21"/>
          <w:szCs w:val="21"/>
          <w:lang w:val="en-US" w:bidi="ar"/>
        </w:rPr>
        <w:t>角、分、零、整（正）等。</w:t>
      </w: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sectPr>
          <w:pgSz w:w="11910" w:h="16840"/>
          <w:pgMar w:top="1440" w:right="1080" w:bottom="1440" w:left="1080" w:header="945" w:footer="893" w:gutter="0"/>
          <w:cols w:space="720" w:num="1"/>
        </w:sectPr>
      </w:pPr>
    </w:p>
    <w:p>
      <w:pPr>
        <w:spacing w:before="162"/>
        <w:ind w:left="445" w:right="537"/>
        <w:jc w:val="center"/>
        <w:outlineLvl w:val="0"/>
        <w:rPr>
          <w:b/>
          <w:sz w:val="21"/>
          <w:szCs w:val="21"/>
        </w:rPr>
      </w:pPr>
      <w:bookmarkStart w:id="363" w:name="_Toc18442"/>
      <w:bookmarkStart w:id="364" w:name="_Toc13770"/>
      <w:bookmarkStart w:id="365" w:name="_Toc16417_WPSOffice_Level1"/>
      <w:r>
        <w:rPr>
          <w:rFonts w:hint="eastAsia"/>
          <w:b/>
          <w:sz w:val="21"/>
          <w:szCs w:val="21"/>
          <w:lang w:val="en-US" w:bidi="ar"/>
        </w:rPr>
        <w:t>成交服务费支付承诺书</w:t>
      </w:r>
      <w:bookmarkEnd w:id="363"/>
      <w:bookmarkEnd w:id="364"/>
      <w:bookmarkEnd w:id="365"/>
    </w:p>
    <w:p>
      <w:pPr>
        <w:pStyle w:val="16"/>
        <w:autoSpaceDE w:val="0"/>
        <w:autoSpaceDN w:val="0"/>
        <w:jc w:val="left"/>
        <w:rPr>
          <w:rFonts w:ascii="宋体" w:hAnsi="宋体" w:cs="宋体"/>
          <w:b/>
          <w:sz w:val="21"/>
          <w:szCs w:val="21"/>
        </w:rPr>
      </w:pPr>
    </w:p>
    <w:p>
      <w:pPr>
        <w:pStyle w:val="16"/>
        <w:autoSpaceDE w:val="0"/>
        <w:autoSpaceDN w:val="0"/>
        <w:jc w:val="left"/>
        <w:rPr>
          <w:rFonts w:ascii="宋体" w:hAnsi="宋体" w:cs="宋体"/>
          <w:b/>
          <w:sz w:val="21"/>
          <w:szCs w:val="21"/>
        </w:rPr>
      </w:pPr>
    </w:p>
    <w:p>
      <w:pPr>
        <w:pStyle w:val="16"/>
        <w:autoSpaceDE w:val="0"/>
        <w:autoSpaceDN w:val="0"/>
        <w:spacing w:before="9"/>
        <w:jc w:val="left"/>
        <w:rPr>
          <w:rFonts w:ascii="宋体" w:hAnsi="宋体" w:cs="宋体"/>
          <w:b/>
          <w:sz w:val="21"/>
          <w:szCs w:val="21"/>
        </w:rPr>
      </w:pPr>
    </w:p>
    <w:p>
      <w:pPr>
        <w:pStyle w:val="16"/>
        <w:tabs>
          <w:tab w:val="left" w:pos="1095"/>
        </w:tabs>
        <w:autoSpaceDE w:val="0"/>
        <w:autoSpaceDN w:val="0"/>
        <w:spacing w:before="71"/>
        <w:ind w:left="358"/>
        <w:jc w:val="left"/>
        <w:rPr>
          <w:rFonts w:ascii="宋体" w:hAnsi="宋体" w:cs="宋体"/>
          <w:sz w:val="21"/>
          <w:szCs w:val="21"/>
        </w:rPr>
      </w:pPr>
      <w:r>
        <w:rPr>
          <w:rFonts w:hint="eastAsia" w:ascii="宋体" w:hAnsi="宋体" w:cs="宋体"/>
          <w:kern w:val="0"/>
          <w:sz w:val="21"/>
          <w:szCs w:val="21"/>
          <w:lang w:bidi="ar"/>
        </w:rPr>
        <w:t>致：</w:t>
      </w:r>
      <w:r>
        <w:rPr>
          <w:rFonts w:ascii="宋体" w:hAnsi="宋体" w:cs="宋体"/>
          <w:kern w:val="0"/>
          <w:sz w:val="21"/>
          <w:szCs w:val="21"/>
          <w:u w:val="single"/>
          <w:lang w:bidi="ar"/>
        </w:rPr>
        <w:tab/>
      </w:r>
      <w:r>
        <w:rPr>
          <w:rFonts w:ascii="宋体" w:hAnsi="宋体" w:cs="宋体"/>
          <w:kern w:val="0"/>
          <w:sz w:val="21"/>
          <w:szCs w:val="21"/>
          <w:u w:val="single"/>
          <w:lang w:bidi="ar"/>
        </w:rPr>
        <w:t xml:space="preserve">     </w:t>
      </w:r>
      <w:r>
        <w:rPr>
          <w:rFonts w:hint="eastAsia" w:ascii="宋体" w:hAnsi="宋体" w:cs="宋体"/>
          <w:spacing w:val="-3"/>
          <w:kern w:val="0"/>
          <w:sz w:val="21"/>
          <w:szCs w:val="21"/>
          <w:lang w:bidi="ar"/>
        </w:rPr>
        <w:t>有</w:t>
      </w:r>
      <w:r>
        <w:rPr>
          <w:rFonts w:hint="eastAsia" w:ascii="宋体" w:hAnsi="宋体" w:cs="宋体"/>
          <w:kern w:val="0"/>
          <w:sz w:val="21"/>
          <w:szCs w:val="21"/>
          <w:lang w:bidi="ar"/>
        </w:rPr>
        <w:t>限</w:t>
      </w:r>
      <w:r>
        <w:rPr>
          <w:rFonts w:hint="eastAsia" w:ascii="宋体" w:hAnsi="宋体" w:cs="宋体"/>
          <w:spacing w:val="-3"/>
          <w:kern w:val="0"/>
          <w:sz w:val="21"/>
          <w:szCs w:val="21"/>
          <w:lang w:bidi="ar"/>
        </w:rPr>
        <w:t>公</w:t>
      </w:r>
      <w:r>
        <w:rPr>
          <w:rFonts w:hint="eastAsia" w:ascii="宋体" w:hAnsi="宋体" w:cs="宋体"/>
          <w:kern w:val="0"/>
          <w:sz w:val="21"/>
          <w:szCs w:val="21"/>
          <w:lang w:bidi="ar"/>
        </w:rPr>
        <w:t>司</w:t>
      </w: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spacing w:before="3"/>
        <w:jc w:val="left"/>
        <w:rPr>
          <w:rFonts w:ascii="宋体" w:hAnsi="宋体" w:cs="宋体"/>
          <w:sz w:val="21"/>
          <w:szCs w:val="21"/>
        </w:rPr>
      </w:pPr>
    </w:p>
    <w:p>
      <w:pPr>
        <w:pStyle w:val="16"/>
        <w:autoSpaceDE w:val="0"/>
        <w:autoSpaceDN w:val="0"/>
        <w:spacing w:line="415" w:lineRule="auto"/>
        <w:ind w:left="358" w:right="340" w:firstLine="422"/>
        <w:jc w:val="left"/>
        <w:rPr>
          <w:rFonts w:ascii="宋体" w:hAnsi="宋体" w:cs="宋体"/>
          <w:sz w:val="21"/>
          <w:szCs w:val="21"/>
        </w:rPr>
      </w:pPr>
      <w:r>
        <w:rPr>
          <w:rFonts w:hint="eastAsia" w:ascii="宋体" w:hAnsi="宋体" w:cs="宋体"/>
          <w:kern w:val="0"/>
          <w:sz w:val="21"/>
          <w:szCs w:val="21"/>
          <w:lang w:bidi="ar"/>
        </w:rPr>
        <w:t>如果我方在贵公司组织的（采购项目编号：</w:t>
      </w:r>
      <w:r>
        <w:rPr>
          <w:rFonts w:ascii="宋体" w:hAnsi="宋体" w:cs="宋体"/>
          <w:kern w:val="0"/>
          <w:sz w:val="21"/>
          <w:szCs w:val="21"/>
          <w:u w:val="single"/>
          <w:lang w:bidi="ar"/>
        </w:rPr>
        <w:t xml:space="preserve">         </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hint="eastAsia" w:ascii="宋体" w:hAnsi="宋体" w:cs="宋体"/>
          <w:kern w:val="0"/>
          <w:sz w:val="21"/>
          <w:szCs w:val="21"/>
          <w:lang w:bidi="ar"/>
        </w:rPr>
        <w:t>项目采购中如获成交，我方保证在收到《成交通知书》前，按响应文件规定向贵公司交纳成交服务费。</w:t>
      </w: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spacing w:before="144" w:line="415" w:lineRule="auto"/>
        <w:ind w:left="358" w:right="446" w:firstLine="422"/>
        <w:jc w:val="left"/>
        <w:rPr>
          <w:rFonts w:ascii="宋体" w:hAnsi="宋体" w:cs="宋体"/>
          <w:sz w:val="21"/>
          <w:szCs w:val="21"/>
        </w:rPr>
      </w:pPr>
      <w:r>
        <w:rPr>
          <w:rFonts w:hint="eastAsia" w:ascii="宋体" w:hAnsi="宋体" w:cs="宋体"/>
          <w:kern w:val="0"/>
          <w:sz w:val="21"/>
          <w:szCs w:val="21"/>
          <w:lang w:bidi="ar"/>
        </w:rPr>
        <w:t>我方如违约，愿凭贵公司开出的违约通知，按成交服务费的</w:t>
      </w:r>
      <w:r>
        <w:rPr>
          <w:rFonts w:ascii="宋体" w:hAnsi="宋体" w:cs="宋体"/>
          <w:kern w:val="0"/>
          <w:sz w:val="21"/>
          <w:szCs w:val="21"/>
          <w:lang w:bidi="ar"/>
        </w:rPr>
        <w:t>200%接受处罚，从买方在支付我方的成交合同货款中代为扣付。</w:t>
      </w:r>
    </w:p>
    <w:p>
      <w:pPr>
        <w:pStyle w:val="16"/>
        <w:autoSpaceDE w:val="0"/>
        <w:autoSpaceDN w:val="0"/>
        <w:jc w:val="left"/>
        <w:rPr>
          <w:rFonts w:ascii="宋体" w:hAnsi="宋体" w:cs="宋体"/>
          <w:sz w:val="21"/>
          <w:szCs w:val="21"/>
        </w:rPr>
      </w:pPr>
    </w:p>
    <w:p>
      <w:pPr>
        <w:pStyle w:val="16"/>
        <w:autoSpaceDE w:val="0"/>
        <w:autoSpaceDN w:val="0"/>
        <w:spacing w:before="9"/>
        <w:jc w:val="left"/>
        <w:rPr>
          <w:rFonts w:ascii="宋体" w:hAnsi="宋体" w:cs="宋体"/>
          <w:sz w:val="21"/>
          <w:szCs w:val="21"/>
        </w:rPr>
      </w:pPr>
    </w:p>
    <w:p>
      <w:pPr>
        <w:pStyle w:val="16"/>
        <w:autoSpaceDE w:val="0"/>
        <w:autoSpaceDN w:val="0"/>
        <w:ind w:left="781"/>
        <w:jc w:val="left"/>
        <w:rPr>
          <w:rFonts w:ascii="宋体" w:hAnsi="宋体" w:cs="宋体"/>
          <w:sz w:val="21"/>
          <w:szCs w:val="21"/>
        </w:rPr>
      </w:pPr>
      <w:r>
        <w:rPr>
          <w:rFonts w:hint="eastAsia" w:ascii="宋体" w:hAnsi="宋体" w:cs="宋体"/>
          <w:kern w:val="0"/>
          <w:sz w:val="21"/>
          <w:szCs w:val="21"/>
          <w:lang w:bidi="ar"/>
        </w:rPr>
        <w:t>特此承诺！</w:t>
      </w:r>
    </w:p>
    <w:p>
      <w:pPr>
        <w:pStyle w:val="16"/>
        <w:autoSpaceDE w:val="0"/>
        <w:autoSpaceDN w:val="0"/>
        <w:ind w:left="781"/>
        <w:jc w:val="left"/>
        <w:rPr>
          <w:rFonts w:ascii="宋体" w:hAnsi="宋体" w:cs="宋体"/>
          <w:sz w:val="21"/>
          <w:szCs w:val="21"/>
        </w:rPr>
      </w:pPr>
    </w:p>
    <w:p>
      <w:pPr>
        <w:pStyle w:val="16"/>
        <w:autoSpaceDE w:val="0"/>
        <w:autoSpaceDN w:val="0"/>
        <w:ind w:left="781"/>
        <w:jc w:val="left"/>
        <w:rPr>
          <w:rFonts w:ascii="宋体" w:hAnsi="宋体" w:cs="宋体"/>
          <w:sz w:val="21"/>
          <w:szCs w:val="21"/>
        </w:rPr>
      </w:pPr>
    </w:p>
    <w:p>
      <w:pPr>
        <w:pStyle w:val="16"/>
        <w:autoSpaceDE w:val="0"/>
        <w:autoSpaceDN w:val="0"/>
        <w:ind w:left="781"/>
        <w:jc w:val="left"/>
        <w:rPr>
          <w:rFonts w:ascii="宋体" w:hAnsi="宋体" w:cs="宋体"/>
          <w:sz w:val="21"/>
          <w:szCs w:val="21"/>
        </w:rPr>
      </w:pPr>
    </w:p>
    <w:p>
      <w:pPr>
        <w:pStyle w:val="16"/>
        <w:autoSpaceDE w:val="0"/>
        <w:autoSpaceDN w:val="0"/>
        <w:ind w:left="781"/>
        <w:jc w:val="left"/>
        <w:rPr>
          <w:rFonts w:ascii="宋体" w:hAnsi="宋体" w:cs="宋体"/>
          <w:sz w:val="21"/>
          <w:szCs w:val="21"/>
        </w:rPr>
      </w:pPr>
    </w:p>
    <w:p>
      <w:pPr>
        <w:pStyle w:val="16"/>
        <w:autoSpaceDE w:val="0"/>
        <w:autoSpaceDN w:val="0"/>
        <w:ind w:left="781"/>
        <w:jc w:val="left"/>
        <w:rPr>
          <w:rFonts w:ascii="宋体" w:hAnsi="宋体" w:cs="宋体"/>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pStyle w:val="16"/>
        <w:autoSpaceDE w:val="0"/>
        <w:autoSpaceDN w:val="0"/>
        <w:spacing w:before="120" w:beforeLines="50" w:after="120" w:afterLines="50"/>
        <w:jc w:val="left"/>
        <w:rPr>
          <w:rFonts w:ascii="宋体" w:hAnsi="宋体" w:cs="宋体"/>
          <w:sz w:val="21"/>
          <w:szCs w:val="21"/>
        </w:rPr>
      </w:pPr>
      <w:r>
        <w:rPr>
          <w:rFonts w:hint="eastAsia" w:ascii="宋体" w:hAnsi="宋体" w:cs="宋体"/>
          <w:kern w:val="0"/>
          <w:sz w:val="21"/>
          <w:szCs w:val="21"/>
          <w:lang w:bidi="ar"/>
        </w:rPr>
        <w:t>日期：</w:t>
      </w:r>
      <w:r>
        <w:rPr>
          <w:rFonts w:ascii="宋体" w:hAnsi="宋体" w:cs="宋体"/>
          <w:kern w:val="0"/>
          <w:sz w:val="21"/>
          <w:szCs w:val="21"/>
          <w:lang w:bidi="ar"/>
        </w:rPr>
        <w:tab/>
      </w:r>
      <w:r>
        <w:rPr>
          <w:rFonts w:hint="eastAsia" w:ascii="宋体" w:hAnsi="宋体" w:cs="宋体"/>
          <w:kern w:val="0"/>
          <w:sz w:val="21"/>
          <w:szCs w:val="21"/>
          <w:lang w:bidi="ar"/>
        </w:rPr>
        <w:t>年</w:t>
      </w:r>
      <w:r>
        <w:rPr>
          <w:rFonts w:ascii="宋体" w:hAnsi="宋体" w:cs="宋体"/>
          <w:kern w:val="0"/>
          <w:sz w:val="21"/>
          <w:szCs w:val="21"/>
          <w:lang w:bidi="ar"/>
        </w:rPr>
        <w:t xml:space="preserve">    </w:t>
      </w:r>
      <w:r>
        <w:rPr>
          <w:rFonts w:ascii="宋体" w:hAnsi="宋体" w:cs="宋体"/>
          <w:kern w:val="0"/>
          <w:sz w:val="21"/>
          <w:szCs w:val="21"/>
          <w:lang w:bidi="ar"/>
        </w:rPr>
        <w:tab/>
      </w:r>
      <w:r>
        <w:rPr>
          <w:rFonts w:hint="eastAsia" w:ascii="宋体" w:hAnsi="宋体" w:cs="宋体"/>
          <w:kern w:val="0"/>
          <w:sz w:val="21"/>
          <w:szCs w:val="21"/>
          <w:lang w:bidi="ar"/>
        </w:rPr>
        <w:t>月</w:t>
      </w:r>
      <w:r>
        <w:rPr>
          <w:rFonts w:ascii="宋体" w:hAnsi="宋体" w:cs="宋体"/>
          <w:kern w:val="0"/>
          <w:sz w:val="21"/>
          <w:szCs w:val="21"/>
          <w:lang w:bidi="ar"/>
        </w:rPr>
        <w:tab/>
      </w:r>
      <w:r>
        <w:rPr>
          <w:rFonts w:ascii="宋体" w:hAnsi="宋体" w:cs="宋体"/>
          <w:kern w:val="0"/>
          <w:sz w:val="21"/>
          <w:szCs w:val="21"/>
          <w:lang w:bidi="ar"/>
        </w:rPr>
        <w:t xml:space="preserve">   日</w:t>
      </w:r>
    </w:p>
    <w:p>
      <w:pPr>
        <w:widowControl/>
        <w:autoSpaceDE/>
        <w:spacing w:before="120" w:beforeLines="50" w:after="120" w:afterLines="50"/>
        <w:rPr>
          <w:b/>
          <w:sz w:val="21"/>
          <w:szCs w:val="21"/>
        </w:rPr>
      </w:pPr>
      <w:r>
        <w:rPr>
          <w:sz w:val="21"/>
          <w:szCs w:val="21"/>
        </w:rPr>
        <w:br w:type="page"/>
      </w:r>
      <w:bookmarkStart w:id="366" w:name="_Toc16502"/>
      <w:bookmarkStart w:id="367" w:name="_Toc12830_WPSOffice_Level1"/>
      <w:bookmarkStart w:id="368" w:name="_Toc25425"/>
      <w:bookmarkStart w:id="369" w:name="_Toc22949"/>
    </w:p>
    <w:p>
      <w:pPr>
        <w:pStyle w:val="4"/>
        <w:widowControl/>
        <w:spacing w:before="240" w:beforeLines="100" w:after="240" w:afterLines="100" w:line="360" w:lineRule="auto"/>
        <w:ind w:left="442" w:right="533"/>
        <w:rPr>
          <w:sz w:val="21"/>
          <w:szCs w:val="21"/>
          <w:lang w:val="en-US"/>
        </w:rPr>
      </w:pPr>
      <w:bookmarkStart w:id="370" w:name="_Toc4443"/>
      <w:bookmarkStart w:id="371" w:name="_Toc22031"/>
      <w:bookmarkStart w:id="372" w:name="_Toc18382"/>
      <w:bookmarkStart w:id="373" w:name="_Toc29898"/>
      <w:r>
        <w:rPr>
          <w:rFonts w:hint="eastAsia"/>
          <w:sz w:val="21"/>
          <w:szCs w:val="21"/>
          <w:lang w:val="en-US"/>
        </w:rPr>
        <w:t>附件</w:t>
      </w:r>
      <w:r>
        <w:rPr>
          <w:sz w:val="21"/>
          <w:szCs w:val="21"/>
          <w:lang w:val="en-US"/>
        </w:rPr>
        <w:t xml:space="preserve"> 1：中小企业声明函</w:t>
      </w:r>
      <w:bookmarkEnd w:id="366"/>
      <w:bookmarkEnd w:id="367"/>
      <w:bookmarkEnd w:id="368"/>
      <w:bookmarkEnd w:id="369"/>
      <w:bookmarkEnd w:id="370"/>
      <w:bookmarkEnd w:id="371"/>
      <w:bookmarkEnd w:id="372"/>
      <w:bookmarkEnd w:id="373"/>
    </w:p>
    <w:p>
      <w:pPr>
        <w:spacing w:before="240" w:beforeLines="100" w:after="240" w:afterLines="100" w:line="360" w:lineRule="auto"/>
        <w:jc w:val="center"/>
        <w:rPr>
          <w:b/>
          <w:bCs/>
          <w:sz w:val="21"/>
          <w:szCs w:val="21"/>
        </w:rPr>
      </w:pPr>
      <w:bookmarkStart w:id="374" w:name="_Toc13840_WPSOffice_Level2"/>
      <w:r>
        <w:rPr>
          <w:rFonts w:hint="eastAsia"/>
          <w:b/>
          <w:bCs/>
          <w:sz w:val="21"/>
          <w:szCs w:val="21"/>
          <w:lang w:val="en-US"/>
        </w:rPr>
        <w:t>中小企业声明函</w:t>
      </w:r>
      <w:bookmarkEnd w:id="374"/>
    </w:p>
    <w:p>
      <w:pPr>
        <w:widowControl/>
        <w:spacing w:line="480" w:lineRule="auto"/>
        <w:ind w:firstLine="420" w:firstLineChars="200"/>
        <w:rPr>
          <w:sz w:val="21"/>
          <w:szCs w:val="21"/>
        </w:rPr>
      </w:pPr>
      <w:r>
        <w:rPr>
          <w:rFonts w:hint="eastAsia"/>
          <w:sz w:val="21"/>
          <w:szCs w:val="21"/>
          <w:lang w:val="en-US" w:bidi="ar"/>
        </w:rPr>
        <w:t>本公司（联合体）郑重声明，根据《政府采购促进中小企业发展管理办法》（财库﹝</w:t>
      </w:r>
      <w:r>
        <w:rPr>
          <w:sz w:val="21"/>
          <w:szCs w:val="21"/>
          <w:lang w:val="en-US" w:bidi="ar"/>
        </w:rPr>
        <w:t xml:space="preserve">2020﹞46 </w:t>
      </w:r>
      <w:r>
        <w:rPr>
          <w:rFonts w:hint="eastAsia"/>
          <w:sz w:val="21"/>
          <w:szCs w:val="21"/>
          <w:lang w:val="en-US" w:bidi="ar"/>
        </w:rPr>
        <w:t>号）的规定，本公司（联合体）参加</w:t>
      </w:r>
      <w:r>
        <w:rPr>
          <w:rFonts w:hint="eastAsia"/>
          <w:sz w:val="21"/>
          <w:szCs w:val="21"/>
          <w:u w:val="single"/>
          <w:lang w:val="en-US" w:bidi="ar"/>
        </w:rPr>
        <w:t>（单位名称）</w:t>
      </w:r>
      <w:r>
        <w:rPr>
          <w:rFonts w:hint="eastAsia"/>
          <w:sz w:val="21"/>
          <w:szCs w:val="21"/>
          <w:lang w:val="en-US" w:bidi="ar"/>
        </w:rPr>
        <w:t>的</w:t>
      </w:r>
      <w:r>
        <w:rPr>
          <w:rFonts w:hint="eastAsia"/>
          <w:sz w:val="21"/>
          <w:szCs w:val="21"/>
          <w:u w:val="single"/>
          <w:lang w:val="en-US" w:bidi="ar"/>
        </w:rPr>
        <w:t>（项目名称）</w:t>
      </w:r>
      <w:r>
        <w:rPr>
          <w:rFonts w:hint="eastAsia"/>
          <w:sz w:val="21"/>
          <w:szCs w:val="21"/>
          <w:lang w:val="en-US" w:bidi="ar"/>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480" w:lineRule="auto"/>
        <w:ind w:firstLine="420" w:firstLineChars="200"/>
        <w:rPr>
          <w:sz w:val="21"/>
          <w:szCs w:val="21"/>
        </w:rPr>
      </w:pPr>
      <w:r>
        <w:rPr>
          <w:sz w:val="21"/>
          <w:szCs w:val="21"/>
          <w:lang w:val="en-US" w:bidi="ar"/>
        </w:rPr>
        <w:t>1.</w:t>
      </w:r>
      <w:r>
        <w:rPr>
          <w:sz w:val="21"/>
          <w:szCs w:val="21"/>
          <w:u w:val="single"/>
          <w:lang w:val="en-US" w:bidi="ar"/>
        </w:rPr>
        <w:t xml:space="preserve"> （标的名称） </w:t>
      </w:r>
      <w:r>
        <w:rPr>
          <w:rFonts w:hint="eastAsia"/>
          <w:sz w:val="21"/>
          <w:szCs w:val="21"/>
          <w:lang w:val="en-US" w:bidi="ar"/>
        </w:rPr>
        <w:t>，属于</w:t>
      </w:r>
      <w:r>
        <w:rPr>
          <w:rFonts w:hint="eastAsia"/>
          <w:sz w:val="21"/>
          <w:szCs w:val="21"/>
          <w:u w:val="single"/>
          <w:lang w:val="en-US" w:bidi="ar"/>
        </w:rPr>
        <w:t>（建筑业）</w:t>
      </w:r>
      <w:r>
        <w:rPr>
          <w:rFonts w:hint="eastAsia"/>
          <w:sz w:val="21"/>
          <w:szCs w:val="21"/>
          <w:lang w:val="en-US" w:bidi="ar"/>
        </w:rPr>
        <w:t>；承建（承接）企业为</w:t>
      </w:r>
      <w:r>
        <w:rPr>
          <w:rFonts w:hint="eastAsia"/>
          <w:sz w:val="21"/>
          <w:szCs w:val="21"/>
          <w:u w:val="single"/>
          <w:lang w:val="en-US" w:bidi="ar"/>
        </w:rPr>
        <w:t>（企业名称）</w:t>
      </w:r>
      <w:r>
        <w:rPr>
          <w:rFonts w:hint="eastAsia"/>
          <w:sz w:val="21"/>
          <w:szCs w:val="21"/>
          <w:lang w:val="en-US" w:bidi="ar"/>
        </w:rPr>
        <w:t>，从业人员</w:t>
      </w:r>
      <w:r>
        <w:rPr>
          <w:sz w:val="21"/>
          <w:szCs w:val="21"/>
          <w:u w:val="single"/>
          <w:lang w:val="en-US" w:bidi="ar"/>
        </w:rPr>
        <w:t xml:space="preserve">    </w:t>
      </w:r>
      <w:r>
        <w:rPr>
          <w:rFonts w:hint="eastAsia"/>
          <w:sz w:val="21"/>
          <w:szCs w:val="21"/>
          <w:lang w:val="en-US" w:bidi="ar"/>
        </w:rPr>
        <w:t>人，营业收入为</w:t>
      </w:r>
      <w:r>
        <w:rPr>
          <w:sz w:val="21"/>
          <w:szCs w:val="21"/>
          <w:u w:val="single"/>
          <w:lang w:val="en-US" w:bidi="ar"/>
        </w:rPr>
        <w:t xml:space="preserve">    </w:t>
      </w:r>
      <w:r>
        <w:rPr>
          <w:rFonts w:hint="eastAsia"/>
          <w:sz w:val="21"/>
          <w:szCs w:val="21"/>
          <w:lang w:val="en-US" w:bidi="ar"/>
        </w:rPr>
        <w:t>万元，资产总额为</w:t>
      </w:r>
      <w:r>
        <w:rPr>
          <w:sz w:val="21"/>
          <w:szCs w:val="21"/>
          <w:u w:val="single"/>
          <w:lang w:val="en-US" w:bidi="ar"/>
        </w:rPr>
        <w:t xml:space="preserve">    </w:t>
      </w:r>
      <w:r>
        <w:rPr>
          <w:rFonts w:hint="eastAsia"/>
          <w:sz w:val="21"/>
          <w:szCs w:val="21"/>
          <w:lang w:val="en-US" w:bidi="ar"/>
        </w:rPr>
        <w:t>万元，属于</w:t>
      </w:r>
      <w:r>
        <w:rPr>
          <w:rFonts w:hint="eastAsia"/>
          <w:sz w:val="21"/>
          <w:szCs w:val="21"/>
          <w:u w:val="single"/>
          <w:lang w:val="en-US" w:bidi="ar"/>
        </w:rPr>
        <w:t>（中型企业、小型企业、微型企业）</w:t>
      </w:r>
      <w:r>
        <w:rPr>
          <w:rFonts w:hint="eastAsia"/>
          <w:sz w:val="21"/>
          <w:szCs w:val="21"/>
          <w:lang w:val="en-US" w:bidi="ar"/>
        </w:rPr>
        <w:t>；</w:t>
      </w:r>
      <w:r>
        <w:rPr>
          <w:sz w:val="21"/>
          <w:szCs w:val="21"/>
          <w:lang w:val="en-US" w:bidi="ar"/>
        </w:rPr>
        <w:t xml:space="preserve"> </w:t>
      </w:r>
    </w:p>
    <w:p>
      <w:pPr>
        <w:widowControl/>
        <w:spacing w:line="480" w:lineRule="auto"/>
        <w:ind w:firstLine="420" w:firstLineChars="200"/>
        <w:rPr>
          <w:sz w:val="21"/>
          <w:szCs w:val="21"/>
        </w:rPr>
      </w:pPr>
      <w:r>
        <w:rPr>
          <w:sz w:val="21"/>
          <w:szCs w:val="21"/>
          <w:lang w:val="en-US" w:bidi="ar"/>
        </w:rPr>
        <w:t>2.</w:t>
      </w:r>
      <w:r>
        <w:rPr>
          <w:sz w:val="21"/>
          <w:szCs w:val="21"/>
          <w:u w:val="single"/>
          <w:lang w:val="en-US" w:bidi="ar"/>
        </w:rPr>
        <w:t xml:space="preserve"> （标的名称） </w:t>
      </w:r>
      <w:r>
        <w:rPr>
          <w:rFonts w:hint="eastAsia"/>
          <w:sz w:val="21"/>
          <w:szCs w:val="21"/>
          <w:lang w:val="en-US" w:bidi="ar"/>
        </w:rPr>
        <w:t>，属于</w:t>
      </w:r>
      <w:r>
        <w:rPr>
          <w:rFonts w:hint="eastAsia"/>
          <w:sz w:val="21"/>
          <w:szCs w:val="21"/>
          <w:u w:val="single"/>
          <w:lang w:val="en-US" w:bidi="ar"/>
        </w:rPr>
        <w:t>（建筑业）</w:t>
      </w:r>
      <w:r>
        <w:rPr>
          <w:rFonts w:hint="eastAsia"/>
          <w:sz w:val="21"/>
          <w:szCs w:val="21"/>
          <w:lang w:val="en-US" w:bidi="ar"/>
        </w:rPr>
        <w:t>；承建（承接）企业为</w:t>
      </w:r>
      <w:r>
        <w:rPr>
          <w:rFonts w:hint="eastAsia"/>
          <w:sz w:val="21"/>
          <w:szCs w:val="21"/>
          <w:u w:val="single"/>
          <w:lang w:val="en-US" w:bidi="ar"/>
        </w:rPr>
        <w:t>（企业名称）</w:t>
      </w:r>
      <w:r>
        <w:rPr>
          <w:rFonts w:hint="eastAsia"/>
          <w:sz w:val="21"/>
          <w:szCs w:val="21"/>
          <w:lang w:val="en-US" w:bidi="ar"/>
        </w:rPr>
        <w:t>，从业人员</w:t>
      </w:r>
      <w:r>
        <w:rPr>
          <w:sz w:val="21"/>
          <w:szCs w:val="21"/>
          <w:u w:val="single"/>
          <w:lang w:val="en-US" w:bidi="ar"/>
        </w:rPr>
        <w:t xml:space="preserve">    </w:t>
      </w:r>
      <w:r>
        <w:rPr>
          <w:rFonts w:hint="eastAsia"/>
          <w:sz w:val="21"/>
          <w:szCs w:val="21"/>
          <w:lang w:val="en-US" w:bidi="ar"/>
        </w:rPr>
        <w:t>人，营业收入为</w:t>
      </w:r>
      <w:r>
        <w:rPr>
          <w:sz w:val="21"/>
          <w:szCs w:val="21"/>
          <w:u w:val="single"/>
          <w:lang w:val="en-US" w:bidi="ar"/>
        </w:rPr>
        <w:t xml:space="preserve">    </w:t>
      </w:r>
      <w:r>
        <w:rPr>
          <w:rFonts w:hint="eastAsia"/>
          <w:sz w:val="21"/>
          <w:szCs w:val="21"/>
          <w:lang w:val="en-US" w:bidi="ar"/>
        </w:rPr>
        <w:t>万元，资产总额为</w:t>
      </w:r>
      <w:r>
        <w:rPr>
          <w:sz w:val="21"/>
          <w:szCs w:val="21"/>
          <w:u w:val="single"/>
          <w:lang w:val="en-US" w:bidi="ar"/>
        </w:rPr>
        <w:t xml:space="preserve">    </w:t>
      </w:r>
      <w:r>
        <w:rPr>
          <w:rFonts w:hint="eastAsia"/>
          <w:sz w:val="21"/>
          <w:szCs w:val="21"/>
          <w:lang w:val="en-US" w:bidi="ar"/>
        </w:rPr>
        <w:t>万元，属于</w:t>
      </w:r>
      <w:r>
        <w:rPr>
          <w:rFonts w:hint="eastAsia"/>
          <w:sz w:val="21"/>
          <w:szCs w:val="21"/>
          <w:u w:val="single"/>
          <w:lang w:val="en-US" w:bidi="ar"/>
        </w:rPr>
        <w:t>（中型企业、小型企业、微型企业）</w:t>
      </w:r>
      <w:r>
        <w:rPr>
          <w:rFonts w:hint="eastAsia"/>
          <w:sz w:val="21"/>
          <w:szCs w:val="21"/>
          <w:lang w:val="en-US" w:bidi="ar"/>
        </w:rPr>
        <w:t>；</w:t>
      </w:r>
      <w:r>
        <w:rPr>
          <w:sz w:val="21"/>
          <w:szCs w:val="21"/>
          <w:lang w:val="en-US" w:bidi="ar"/>
        </w:rPr>
        <w:t xml:space="preserve"> </w:t>
      </w:r>
    </w:p>
    <w:p>
      <w:pPr>
        <w:widowControl/>
        <w:spacing w:line="480" w:lineRule="auto"/>
        <w:ind w:firstLine="420" w:firstLineChars="200"/>
        <w:rPr>
          <w:sz w:val="21"/>
          <w:szCs w:val="21"/>
        </w:rPr>
      </w:pPr>
      <w:r>
        <w:rPr>
          <w:rFonts w:hint="eastAsia"/>
          <w:sz w:val="21"/>
          <w:szCs w:val="21"/>
          <w:lang w:val="en-US" w:bidi="ar"/>
        </w:rPr>
        <w:t>……</w:t>
      </w:r>
    </w:p>
    <w:p>
      <w:pPr>
        <w:widowControl/>
        <w:spacing w:line="480" w:lineRule="auto"/>
        <w:ind w:firstLine="420" w:firstLineChars="200"/>
        <w:rPr>
          <w:sz w:val="21"/>
          <w:szCs w:val="21"/>
        </w:rPr>
      </w:pPr>
      <w:r>
        <w:rPr>
          <w:rFonts w:hint="eastAsia"/>
          <w:sz w:val="21"/>
          <w:szCs w:val="21"/>
          <w:lang w:val="en-US" w:bidi="ar"/>
        </w:rPr>
        <w:t>以上企业，不属于大企业的分支机构，不存在控股股东为大企业的情形，也不存在与大企业的负责人为同一人的情形。</w:t>
      </w:r>
    </w:p>
    <w:p>
      <w:pPr>
        <w:widowControl/>
        <w:spacing w:line="480" w:lineRule="auto"/>
        <w:ind w:firstLine="420" w:firstLineChars="200"/>
        <w:rPr>
          <w:sz w:val="21"/>
          <w:szCs w:val="21"/>
        </w:rPr>
      </w:pPr>
      <w:r>
        <w:rPr>
          <w:rFonts w:hint="eastAsia"/>
          <w:sz w:val="21"/>
          <w:szCs w:val="21"/>
          <w:lang w:val="en-US" w:bidi="ar"/>
        </w:rPr>
        <w:t>本企业对上述声明内容的真实性负责。如有虚假，将依法承担相应责任。</w:t>
      </w:r>
    </w:p>
    <w:p>
      <w:pPr>
        <w:spacing w:after="60" w:line="480" w:lineRule="auto"/>
        <w:ind w:firstLine="420" w:firstLineChars="200"/>
        <w:rPr>
          <w:sz w:val="21"/>
          <w:szCs w:val="21"/>
          <w:lang w:val="en-US"/>
        </w:rPr>
      </w:pPr>
      <w:r>
        <w:rPr>
          <w:rFonts w:hint="eastAsia"/>
          <w:sz w:val="21"/>
          <w:szCs w:val="21"/>
        </w:rPr>
        <w:t>注：</w:t>
      </w:r>
      <w:r>
        <w:rPr>
          <w:sz w:val="21"/>
          <w:szCs w:val="21"/>
          <w:lang w:val="en-US"/>
        </w:rPr>
        <w:t>1.从业人员、营业收入、资产总额填报上一年度数据，无上一年度数据的新成立企业可不填报。</w:t>
      </w:r>
    </w:p>
    <w:p>
      <w:pPr>
        <w:spacing w:after="60" w:line="480" w:lineRule="auto"/>
        <w:ind w:firstLine="840" w:firstLineChars="400"/>
        <w:rPr>
          <w:sz w:val="21"/>
          <w:szCs w:val="21"/>
        </w:rPr>
      </w:pPr>
      <w:r>
        <w:rPr>
          <w:sz w:val="21"/>
          <w:szCs w:val="21"/>
          <w:lang w:val="en-US"/>
        </w:rPr>
        <w:t>2.</w:t>
      </w:r>
      <w:r>
        <w:rPr>
          <w:rFonts w:hint="eastAsia"/>
          <w:sz w:val="21"/>
          <w:szCs w:val="21"/>
        </w:rPr>
        <w:t>不提供本表或本表为空表的，视为不适用相关政策。</w:t>
      </w: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lang w:val="en-US" w:bidi="ar"/>
        </w:rPr>
      </w:pPr>
      <w:r>
        <w:rPr>
          <w:rFonts w:hint="eastAsia"/>
          <w:sz w:val="21"/>
          <w:szCs w:val="21"/>
          <w:lang w:val="en-US" w:bidi="ar"/>
        </w:rPr>
        <w:t>日期：</w:t>
      </w:r>
      <w:r>
        <w:rPr>
          <w:sz w:val="21"/>
          <w:szCs w:val="21"/>
          <w:lang w:val="en-US" w:bidi="ar"/>
        </w:rPr>
        <w:tab/>
      </w:r>
      <w:r>
        <w:rPr>
          <w:sz w:val="21"/>
          <w:szCs w:val="21"/>
          <w:lang w:val="en-US" w:bidi="ar"/>
        </w:rPr>
        <w:t xml:space="preserve"> 年    月    日</w:t>
      </w:r>
    </w:p>
    <w:p>
      <w:pPr>
        <w:pStyle w:val="12"/>
        <w:rPr>
          <w:sz w:val="21"/>
          <w:szCs w:val="21"/>
          <w:lang w:val="en-US" w:bidi="ar"/>
        </w:rPr>
      </w:pPr>
    </w:p>
    <w:p>
      <w:pPr>
        <w:pStyle w:val="12"/>
        <w:rPr>
          <w:sz w:val="21"/>
          <w:szCs w:val="21"/>
          <w:lang w:val="en-US" w:bidi="ar"/>
        </w:rPr>
      </w:pPr>
    </w:p>
    <w:p>
      <w:pPr>
        <w:widowControl/>
        <w:autoSpaceDE/>
        <w:autoSpaceDN/>
        <w:rPr>
          <w:sz w:val="21"/>
          <w:szCs w:val="21"/>
          <w:lang w:val="en-US" w:bidi="ar"/>
        </w:rPr>
      </w:pPr>
      <w:r>
        <w:rPr>
          <w:sz w:val="21"/>
          <w:szCs w:val="21"/>
          <w:lang w:val="en-US" w:bidi="ar"/>
        </w:rPr>
        <w:br w:type="page"/>
      </w:r>
    </w:p>
    <w:p>
      <w:pPr>
        <w:spacing w:before="120" w:beforeLines="50" w:after="120" w:afterLines="50" w:line="360" w:lineRule="auto"/>
        <w:rPr>
          <w:sz w:val="21"/>
          <w:szCs w:val="21"/>
          <w:lang w:bidi="ar"/>
        </w:rPr>
      </w:pPr>
      <w:r>
        <w:rPr>
          <w:sz w:val="21"/>
          <w:szCs w:val="21"/>
          <w:lang w:val="en-US" w:bidi="ar"/>
        </w:rPr>
        <w:t xml:space="preserve"> </w:t>
      </w:r>
    </w:p>
    <w:p>
      <w:pPr>
        <w:spacing w:before="120" w:beforeLines="50" w:after="120" w:afterLines="50" w:line="360" w:lineRule="auto"/>
        <w:rPr>
          <w:sz w:val="21"/>
          <w:szCs w:val="21"/>
          <w:lang w:bidi="ar"/>
        </w:rPr>
        <w:sectPr>
          <w:pgSz w:w="11910" w:h="16840"/>
          <w:pgMar w:top="1440" w:right="1080" w:bottom="1440" w:left="1080" w:header="945" w:footer="893" w:gutter="0"/>
          <w:cols w:space="720" w:num="1"/>
        </w:sectPr>
      </w:pPr>
    </w:p>
    <w:p>
      <w:pPr>
        <w:pStyle w:val="4"/>
        <w:widowControl/>
        <w:spacing w:before="240" w:beforeLines="100" w:after="240" w:afterLines="100" w:line="360" w:lineRule="auto"/>
        <w:ind w:left="442" w:right="533"/>
        <w:rPr>
          <w:sz w:val="21"/>
          <w:szCs w:val="21"/>
          <w:lang w:val="en-US"/>
        </w:rPr>
      </w:pPr>
      <w:bookmarkStart w:id="375" w:name="_Toc26554_WPSOffice_Level1"/>
      <w:bookmarkStart w:id="376" w:name="_Toc28660"/>
      <w:bookmarkStart w:id="377" w:name="_Toc25167"/>
      <w:bookmarkStart w:id="378" w:name="_Toc26372"/>
      <w:bookmarkStart w:id="379" w:name="_Toc25746"/>
      <w:bookmarkStart w:id="380" w:name="_Toc24106"/>
      <w:bookmarkStart w:id="381" w:name="_Toc2088"/>
      <w:bookmarkStart w:id="382" w:name="_Toc10399"/>
      <w:r>
        <w:rPr>
          <w:rFonts w:hint="eastAsia"/>
          <w:sz w:val="21"/>
          <w:szCs w:val="21"/>
          <w:lang w:val="en-US"/>
        </w:rPr>
        <w:t>附件</w:t>
      </w:r>
      <w:r>
        <w:rPr>
          <w:sz w:val="21"/>
          <w:szCs w:val="21"/>
          <w:lang w:val="en-US"/>
        </w:rPr>
        <w:t xml:space="preserve"> 2：残疾人福利性单位声明函</w:t>
      </w:r>
      <w:bookmarkEnd w:id="375"/>
      <w:bookmarkEnd w:id="376"/>
      <w:bookmarkEnd w:id="377"/>
      <w:bookmarkEnd w:id="378"/>
      <w:bookmarkEnd w:id="379"/>
      <w:bookmarkEnd w:id="380"/>
      <w:bookmarkEnd w:id="381"/>
      <w:bookmarkEnd w:id="382"/>
    </w:p>
    <w:p>
      <w:pPr>
        <w:spacing w:before="240" w:beforeLines="100" w:after="240" w:afterLines="100" w:line="360" w:lineRule="auto"/>
        <w:jc w:val="center"/>
        <w:outlineLvl w:val="0"/>
        <w:rPr>
          <w:b/>
          <w:sz w:val="21"/>
          <w:szCs w:val="21"/>
        </w:rPr>
      </w:pPr>
      <w:bookmarkStart w:id="383" w:name="_Toc23239_WPSOffice_Level2"/>
      <w:bookmarkStart w:id="384" w:name="_Toc7442"/>
      <w:r>
        <w:rPr>
          <w:rFonts w:hint="eastAsia"/>
          <w:b/>
          <w:sz w:val="21"/>
          <w:szCs w:val="21"/>
          <w:lang w:val="en-US" w:bidi="ar"/>
        </w:rPr>
        <w:t>残疾人福利性单位声明函</w:t>
      </w:r>
      <w:bookmarkEnd w:id="383"/>
      <w:bookmarkEnd w:id="384"/>
    </w:p>
    <w:p>
      <w:pPr>
        <w:spacing w:before="60" w:beforeLines="25" w:after="60" w:afterLines="25" w:line="480" w:lineRule="auto"/>
        <w:rPr>
          <w:sz w:val="21"/>
          <w:szCs w:val="21"/>
        </w:rPr>
      </w:pPr>
      <w:r>
        <w:rPr>
          <w:rFonts w:hint="eastAsia"/>
          <w:sz w:val="21"/>
          <w:szCs w:val="21"/>
          <w:lang w:val="en-US" w:bidi="ar"/>
        </w:rPr>
        <w:t>本单位郑重声明，根据《财政部</w:t>
      </w:r>
      <w:r>
        <w:rPr>
          <w:sz w:val="21"/>
          <w:szCs w:val="21"/>
          <w:lang w:val="en-US" w:bidi="ar"/>
        </w:rPr>
        <w:t xml:space="preserve"> </w:t>
      </w:r>
      <w:r>
        <w:rPr>
          <w:rFonts w:hint="eastAsia"/>
          <w:sz w:val="21"/>
          <w:szCs w:val="21"/>
          <w:lang w:val="en-US" w:bidi="ar"/>
        </w:rPr>
        <w:t>民政部</w:t>
      </w:r>
      <w:r>
        <w:rPr>
          <w:sz w:val="21"/>
          <w:szCs w:val="21"/>
          <w:lang w:val="en-US" w:bidi="ar"/>
        </w:rPr>
        <w:t xml:space="preserve"> </w:t>
      </w:r>
      <w:r>
        <w:rPr>
          <w:rFonts w:hint="eastAsia"/>
          <w:sz w:val="21"/>
          <w:szCs w:val="21"/>
          <w:lang w:val="en-US" w:bidi="ar"/>
        </w:rPr>
        <w:t>中国残疾人联合会关于促进残疾人就业政府采购政策的通知》（财库〔</w:t>
      </w:r>
      <w:r>
        <w:rPr>
          <w:sz w:val="21"/>
          <w:szCs w:val="21"/>
          <w:lang w:val="en-US" w:bidi="ar"/>
        </w:rPr>
        <w:t xml:space="preserve">2017〕 141 </w:t>
      </w:r>
      <w:r>
        <w:rPr>
          <w:rFonts w:hint="eastAsia"/>
          <w:sz w:val="21"/>
          <w:szCs w:val="21"/>
          <w:lang w:val="en-US" w:bidi="ar"/>
        </w:rPr>
        <w:t>号）的规定，本单位为</w:t>
      </w:r>
      <w:r>
        <w:rPr>
          <w:sz w:val="21"/>
          <w:szCs w:val="21"/>
          <w:u w:val="single"/>
          <w:lang w:val="en-US" w:bidi="ar"/>
        </w:rPr>
        <w:t xml:space="preserve">           </w:t>
      </w:r>
      <w:r>
        <w:rPr>
          <w:rFonts w:hint="eastAsia"/>
          <w:sz w:val="21"/>
          <w:szCs w:val="21"/>
          <w:lang w:val="en-US" w:bidi="ar"/>
        </w:rPr>
        <w:t>（符合</w:t>
      </w:r>
      <w:r>
        <w:rPr>
          <w:sz w:val="21"/>
          <w:szCs w:val="21"/>
          <w:lang w:val="en-US" w:bidi="ar"/>
        </w:rPr>
        <w:t>/不符合）条件的残疾人福利性单位，且本单位参加</w:t>
      </w:r>
      <w:r>
        <w:rPr>
          <w:sz w:val="21"/>
          <w:szCs w:val="21"/>
          <w:u w:val="single"/>
          <w:lang w:val="en-US" w:bidi="ar"/>
        </w:rPr>
        <w:t xml:space="preserve">         </w:t>
      </w:r>
      <w:r>
        <w:rPr>
          <w:rFonts w:hint="eastAsia"/>
          <w:sz w:val="21"/>
          <w:szCs w:val="21"/>
          <w:lang w:val="en-US" w:bidi="ar"/>
        </w:rPr>
        <w:t>单位的</w:t>
      </w:r>
      <w:r>
        <w:rPr>
          <w:sz w:val="21"/>
          <w:szCs w:val="21"/>
          <w:u w:val="single"/>
          <w:lang w:val="en-US" w:bidi="ar"/>
        </w:rPr>
        <w:t xml:space="preserve">           </w:t>
      </w:r>
      <w:r>
        <w:rPr>
          <w:rFonts w:hint="eastAsia"/>
          <w:sz w:val="21"/>
          <w:szCs w:val="21"/>
          <w:lang w:val="en-US" w:bidi="ar"/>
        </w:rPr>
        <w:t>项目采购活动提供本单位制造的货物（由本单位承担工程</w:t>
      </w:r>
      <w:r>
        <w:rPr>
          <w:sz w:val="21"/>
          <w:szCs w:val="21"/>
          <w:lang w:val="en-US" w:bidi="ar"/>
        </w:rPr>
        <w:t>/提供服务），或者提供其他残疾人福利性单位制造的货物（不包括使用非残疾人福利性单位注册商标的货物）。</w:t>
      </w:r>
    </w:p>
    <w:p>
      <w:pPr>
        <w:spacing w:before="60" w:beforeLines="25" w:after="60" w:afterLines="25" w:line="480" w:lineRule="auto"/>
        <w:ind w:firstLine="420" w:firstLineChars="200"/>
        <w:rPr>
          <w:sz w:val="21"/>
          <w:szCs w:val="21"/>
          <w:lang w:val="en-US" w:bidi="ar"/>
        </w:rPr>
      </w:pPr>
      <w:r>
        <w:rPr>
          <w:rFonts w:hint="eastAsia"/>
          <w:sz w:val="21"/>
          <w:szCs w:val="21"/>
          <w:lang w:val="en-US" w:bidi="ar"/>
        </w:rPr>
        <w:t>本单位对上述声明的真实性负责。如有虚假，将依法承担相应责任。</w:t>
      </w:r>
    </w:p>
    <w:p>
      <w:pPr>
        <w:spacing w:before="60" w:beforeLines="25" w:after="60" w:afterLines="25" w:line="480" w:lineRule="auto"/>
        <w:ind w:firstLine="420" w:firstLineChars="200"/>
        <w:rPr>
          <w:sz w:val="21"/>
          <w:szCs w:val="21"/>
        </w:rPr>
      </w:pPr>
      <w:r>
        <w:rPr>
          <w:rFonts w:hint="eastAsia"/>
          <w:sz w:val="21"/>
          <w:szCs w:val="21"/>
          <w:lang w:val="en-US"/>
        </w:rPr>
        <w:t>注：</w:t>
      </w:r>
      <w:r>
        <w:rPr>
          <w:rFonts w:hint="eastAsia"/>
          <w:sz w:val="21"/>
          <w:szCs w:val="21"/>
        </w:rPr>
        <w:t>不提供本表或本表为空表的，视为不适用相关政策。</w:t>
      </w:r>
    </w:p>
    <w:p>
      <w:pPr>
        <w:pStyle w:val="12"/>
      </w:pPr>
    </w:p>
    <w:p>
      <w:pPr>
        <w:spacing w:before="60" w:beforeLines="25" w:after="60" w:afterLines="25" w:line="360" w:lineRule="auto"/>
        <w:ind w:firstLine="420" w:firstLineChars="200"/>
        <w:rPr>
          <w:sz w:val="21"/>
          <w:szCs w:val="21"/>
        </w:rPr>
      </w:pPr>
    </w:p>
    <w:p>
      <w:pPr>
        <w:rPr>
          <w:sz w:val="21"/>
          <w:szCs w:val="21"/>
        </w:rPr>
      </w:pPr>
    </w:p>
    <w:p>
      <w:pPr>
        <w:rPr>
          <w:sz w:val="21"/>
          <w:szCs w:val="21"/>
        </w:rPr>
      </w:pPr>
    </w:p>
    <w:p>
      <w:pPr>
        <w:rPr>
          <w:sz w:val="21"/>
          <w:szCs w:val="21"/>
        </w:rPr>
      </w:pPr>
    </w:p>
    <w:p>
      <w:pPr>
        <w:rPr>
          <w:sz w:val="21"/>
          <w:szCs w:val="21"/>
        </w:rPr>
      </w:pPr>
    </w:p>
    <w:p>
      <w:pPr>
        <w:rPr>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sectPr>
          <w:type w:val="continuous"/>
          <w:pgSz w:w="11910" w:h="16840"/>
          <w:pgMar w:top="1440" w:right="1080" w:bottom="1440" w:left="1080" w:header="720" w:footer="720" w:gutter="0"/>
          <w:cols w:space="720" w:num="1"/>
        </w:sect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pStyle w:val="4"/>
        <w:widowControl/>
        <w:spacing w:before="240" w:beforeLines="100" w:after="240" w:afterLines="100" w:line="360" w:lineRule="auto"/>
        <w:ind w:left="442" w:right="533"/>
        <w:rPr>
          <w:sz w:val="21"/>
          <w:szCs w:val="21"/>
          <w:lang w:val="en-US"/>
        </w:rPr>
      </w:pPr>
      <w:bookmarkStart w:id="385" w:name="_Toc22865"/>
      <w:bookmarkStart w:id="386" w:name="_Toc28896"/>
      <w:bookmarkStart w:id="387" w:name="_Toc21510"/>
      <w:bookmarkStart w:id="388" w:name="_Toc20048"/>
      <w:bookmarkStart w:id="389" w:name="_Toc27344"/>
      <w:bookmarkStart w:id="390" w:name="_Toc29724_WPSOffice_Level1"/>
      <w:bookmarkStart w:id="391" w:name="_Toc17852"/>
      <w:bookmarkStart w:id="392" w:name="_Toc7769"/>
      <w:r>
        <w:rPr>
          <w:rFonts w:hint="eastAsia"/>
          <w:sz w:val="21"/>
          <w:szCs w:val="21"/>
          <w:lang w:val="en-US"/>
        </w:rPr>
        <w:t>附件</w:t>
      </w:r>
      <w:r>
        <w:rPr>
          <w:sz w:val="21"/>
          <w:szCs w:val="21"/>
          <w:lang w:val="en-US"/>
        </w:rPr>
        <w:t xml:space="preserve"> 3：监狱企业声明函</w:t>
      </w:r>
      <w:bookmarkEnd w:id="385"/>
      <w:bookmarkEnd w:id="386"/>
      <w:bookmarkEnd w:id="387"/>
      <w:bookmarkEnd w:id="388"/>
    </w:p>
    <w:p>
      <w:pPr>
        <w:spacing w:before="240" w:beforeLines="100" w:after="240" w:afterLines="100" w:line="360" w:lineRule="auto"/>
        <w:jc w:val="center"/>
        <w:outlineLvl w:val="0"/>
        <w:rPr>
          <w:sz w:val="21"/>
          <w:szCs w:val="21"/>
        </w:rPr>
      </w:pPr>
      <w:bookmarkStart w:id="393" w:name="_Toc16713"/>
      <w:r>
        <w:rPr>
          <w:rFonts w:hint="eastAsia"/>
          <w:b/>
          <w:sz w:val="21"/>
          <w:szCs w:val="21"/>
          <w:lang w:val="en-US" w:bidi="ar"/>
        </w:rPr>
        <w:t>监狱企业声明函</w:t>
      </w:r>
      <w:bookmarkEnd w:id="389"/>
      <w:bookmarkEnd w:id="390"/>
      <w:bookmarkEnd w:id="391"/>
      <w:bookmarkEnd w:id="392"/>
      <w:bookmarkEnd w:id="393"/>
    </w:p>
    <w:p>
      <w:pPr>
        <w:spacing w:before="60" w:beforeLines="25" w:after="60" w:afterLines="25" w:line="480" w:lineRule="auto"/>
        <w:ind w:firstLine="420" w:firstLineChars="200"/>
        <w:rPr>
          <w:sz w:val="21"/>
          <w:szCs w:val="21"/>
        </w:rPr>
      </w:pPr>
      <w:r>
        <w:rPr>
          <w:rFonts w:hint="eastAsia"/>
          <w:sz w:val="21"/>
          <w:szCs w:val="21"/>
          <w:lang w:val="en-US" w:bidi="ar"/>
        </w:rPr>
        <w:t>本单位郑重声明，根据《财政部</w:t>
      </w:r>
      <w:r>
        <w:rPr>
          <w:sz w:val="21"/>
          <w:szCs w:val="21"/>
          <w:lang w:val="en-US" w:bidi="ar"/>
        </w:rPr>
        <w:t xml:space="preserve"> </w:t>
      </w:r>
      <w:r>
        <w:rPr>
          <w:rFonts w:hint="eastAsia"/>
          <w:sz w:val="21"/>
          <w:szCs w:val="21"/>
          <w:lang w:val="en-US" w:bidi="ar"/>
        </w:rPr>
        <w:t>司法部关于政府采购支持监狱企业发展有关问题的通知》的规定，</w:t>
      </w:r>
      <w:r>
        <w:rPr>
          <w:sz w:val="21"/>
          <w:szCs w:val="21"/>
          <w:lang w:val="en-US" w:bidi="ar"/>
        </w:rPr>
        <w:t xml:space="preserve"> </w:t>
      </w:r>
      <w:r>
        <w:rPr>
          <w:rFonts w:hint="eastAsia"/>
          <w:sz w:val="21"/>
          <w:szCs w:val="21"/>
          <w:lang w:val="en-US" w:bidi="ar"/>
        </w:rPr>
        <w:t>本单位为</w:t>
      </w:r>
      <w:r>
        <w:rPr>
          <w:sz w:val="21"/>
          <w:szCs w:val="21"/>
          <w:u w:val="single"/>
          <w:lang w:val="en-US" w:bidi="ar"/>
        </w:rPr>
        <w:t xml:space="preserve">         </w:t>
      </w:r>
      <w:r>
        <w:rPr>
          <w:rFonts w:hint="eastAsia"/>
          <w:sz w:val="21"/>
          <w:szCs w:val="21"/>
          <w:lang w:val="en-US" w:bidi="ar"/>
        </w:rPr>
        <w:t>（符合</w:t>
      </w:r>
      <w:r>
        <w:rPr>
          <w:sz w:val="21"/>
          <w:szCs w:val="21"/>
          <w:lang w:val="en-US" w:bidi="ar"/>
        </w:rPr>
        <w:t>/不符合）条件的监狱企业，且本单位参加</w:t>
      </w:r>
      <w:r>
        <w:rPr>
          <w:sz w:val="21"/>
          <w:szCs w:val="21"/>
          <w:u w:val="single"/>
          <w:lang w:val="en-US" w:bidi="ar"/>
        </w:rPr>
        <w:t xml:space="preserve">         </w:t>
      </w:r>
      <w:r>
        <w:rPr>
          <w:rFonts w:hint="eastAsia"/>
          <w:sz w:val="21"/>
          <w:szCs w:val="21"/>
          <w:lang w:val="en-US" w:bidi="ar"/>
        </w:rPr>
        <w:t>单位的</w:t>
      </w:r>
      <w:r>
        <w:rPr>
          <w:sz w:val="21"/>
          <w:szCs w:val="21"/>
          <w:lang w:val="en-US" w:bidi="ar"/>
        </w:rPr>
        <w:t xml:space="preserve"> </w:t>
      </w:r>
      <w:r>
        <w:rPr>
          <w:sz w:val="21"/>
          <w:szCs w:val="21"/>
          <w:u w:val="single"/>
          <w:lang w:val="en-US" w:bidi="ar"/>
        </w:rPr>
        <w:t xml:space="preserve">         </w:t>
      </w:r>
      <w:r>
        <w:rPr>
          <w:rFonts w:hint="eastAsia"/>
          <w:sz w:val="21"/>
          <w:szCs w:val="21"/>
          <w:lang w:val="en-US" w:bidi="ar"/>
        </w:rPr>
        <w:t>项目采购活动提供本单位制造的货物（由本单位承担工程</w:t>
      </w:r>
      <w:r>
        <w:rPr>
          <w:sz w:val="21"/>
          <w:szCs w:val="21"/>
          <w:lang w:val="en-US" w:bidi="ar"/>
        </w:rPr>
        <w:t>/提供服务），或者提供其他监狱企业制造的货物（不包括使用非监狱企业注册商标的货物）。</w:t>
      </w:r>
    </w:p>
    <w:p>
      <w:pPr>
        <w:spacing w:before="60" w:beforeLines="25" w:after="60" w:afterLines="25" w:line="480" w:lineRule="auto"/>
        <w:ind w:firstLine="420" w:firstLineChars="200"/>
        <w:rPr>
          <w:sz w:val="21"/>
          <w:szCs w:val="21"/>
          <w:lang w:val="en-US" w:bidi="ar"/>
        </w:rPr>
      </w:pPr>
      <w:r>
        <w:rPr>
          <w:rFonts w:hint="eastAsia"/>
          <w:sz w:val="21"/>
          <w:szCs w:val="21"/>
          <w:lang w:val="en-US" w:bidi="ar"/>
        </w:rPr>
        <w:t>本单位对上述声明的真实性负责。如有虚假，将依法承担相应责任。</w:t>
      </w:r>
    </w:p>
    <w:p>
      <w:pPr>
        <w:spacing w:before="60" w:beforeLines="25" w:after="60" w:afterLines="25" w:line="480" w:lineRule="auto"/>
        <w:ind w:firstLine="420" w:firstLineChars="200"/>
        <w:rPr>
          <w:sz w:val="21"/>
          <w:szCs w:val="21"/>
        </w:rPr>
      </w:pPr>
      <w:r>
        <w:rPr>
          <w:rFonts w:hint="eastAsia"/>
          <w:sz w:val="21"/>
          <w:szCs w:val="21"/>
          <w:lang w:val="en-US"/>
        </w:rPr>
        <w:t>注：</w:t>
      </w:r>
      <w:r>
        <w:rPr>
          <w:rFonts w:hint="eastAsia"/>
          <w:sz w:val="21"/>
          <w:szCs w:val="21"/>
        </w:rPr>
        <w:t>不提供本表或本表为空表的，视为不适用相关政策。</w:t>
      </w:r>
    </w:p>
    <w:p>
      <w:pPr>
        <w:pStyle w:val="12"/>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tabs>
          <w:tab w:val="left" w:pos="4607"/>
        </w:tabs>
        <w:autoSpaceDE w:val="0"/>
        <w:autoSpaceDN w:val="0"/>
        <w:spacing w:before="120" w:beforeLines="50" w:after="120"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20" w:beforeLines="50" w:after="120"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20" w:beforeLines="50" w:after="120"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spacing w:before="120" w:beforeLines="50" w:after="120" w:afterLines="50"/>
        <w:rPr>
          <w:sz w:val="21"/>
          <w:szCs w:val="21"/>
        </w:rPr>
      </w:pPr>
      <w:r>
        <w:rPr>
          <w:rFonts w:hint="eastAsia"/>
          <w:sz w:val="21"/>
          <w:szCs w:val="21"/>
          <w:lang w:val="en-US" w:bidi="ar"/>
        </w:rPr>
        <w:t>日期：</w:t>
      </w:r>
      <w:r>
        <w:rPr>
          <w:sz w:val="21"/>
          <w:szCs w:val="21"/>
          <w:lang w:val="en-US" w:bidi="ar"/>
        </w:rPr>
        <w:tab/>
      </w:r>
      <w:r>
        <w:rPr>
          <w:rFonts w:hint="eastAsia"/>
          <w:sz w:val="21"/>
          <w:szCs w:val="21"/>
          <w:lang w:val="en-US" w:bidi="ar"/>
        </w:rPr>
        <w:t>年</w:t>
      </w:r>
      <w:r>
        <w:rPr>
          <w:sz w:val="21"/>
          <w:szCs w:val="21"/>
          <w:lang w:val="en-US" w:bidi="ar"/>
        </w:rPr>
        <w:t xml:space="preserve">    </w:t>
      </w:r>
      <w:r>
        <w:rPr>
          <w:sz w:val="21"/>
          <w:szCs w:val="21"/>
          <w:lang w:val="en-US" w:bidi="ar"/>
        </w:rPr>
        <w:tab/>
      </w:r>
      <w:r>
        <w:rPr>
          <w:rFonts w:hint="eastAsia"/>
          <w:sz w:val="21"/>
          <w:szCs w:val="21"/>
          <w:lang w:val="en-US" w:bidi="ar"/>
        </w:rPr>
        <w:t>月</w:t>
      </w:r>
      <w:r>
        <w:rPr>
          <w:sz w:val="21"/>
          <w:szCs w:val="21"/>
          <w:lang w:val="en-US" w:bidi="ar"/>
        </w:rPr>
        <w:tab/>
      </w:r>
      <w:r>
        <w:rPr>
          <w:sz w:val="21"/>
          <w:szCs w:val="21"/>
          <w:lang w:val="en-US" w:bidi="ar"/>
        </w:rPr>
        <w:t xml:space="preserve">   日</w:t>
      </w:r>
    </w:p>
    <w:p>
      <w:pPr>
        <w:rPr>
          <w:sz w:val="21"/>
          <w:szCs w:val="21"/>
        </w:rPr>
        <w:sectPr>
          <w:pgSz w:w="11910" w:h="16840"/>
          <w:pgMar w:top="1440" w:right="1080" w:bottom="1440" w:left="1080" w:header="945" w:footer="893" w:gutter="0"/>
          <w:cols w:space="720" w:num="1"/>
        </w:sectPr>
      </w:pPr>
    </w:p>
    <w:p>
      <w:pPr>
        <w:pStyle w:val="4"/>
        <w:widowControl/>
        <w:spacing w:before="312" w:beforeLines="100" w:after="312" w:afterLines="100" w:line="360" w:lineRule="auto"/>
        <w:ind w:left="442" w:right="533"/>
        <w:rPr>
          <w:rFonts w:ascii="方正小标宋简体" w:hAnsi="方正小标宋简体" w:eastAsia="方正小标宋简体" w:cs="方正小标宋简体"/>
          <w:sz w:val="21"/>
          <w:szCs w:val="21"/>
        </w:rPr>
      </w:pPr>
      <w:bookmarkStart w:id="394" w:name="_Toc8777"/>
      <w:bookmarkStart w:id="395" w:name="_Toc4901"/>
      <w:bookmarkStart w:id="396" w:name="_Toc2908"/>
      <w:bookmarkStart w:id="397" w:name="_Toc30700"/>
      <w:bookmarkStart w:id="398" w:name="_Toc6021_WPSOffice_Level1"/>
      <w:bookmarkStart w:id="399" w:name="_Toc32539"/>
      <w:bookmarkStart w:id="400" w:name="_Toc21600"/>
      <w:bookmarkStart w:id="401" w:name="_Toc3312"/>
      <w:r>
        <w:rPr>
          <w:rFonts w:hint="eastAsia"/>
          <w:sz w:val="21"/>
          <w:szCs w:val="21"/>
          <w:lang w:val="en-US"/>
        </w:rPr>
        <w:t>附件</w:t>
      </w:r>
      <w:r>
        <w:rPr>
          <w:sz w:val="21"/>
          <w:szCs w:val="21"/>
          <w:lang w:val="en-US"/>
        </w:rPr>
        <w:t xml:space="preserve"> 4：采购供应商资格信用承诺函</w:t>
      </w:r>
      <w:bookmarkEnd w:id="394"/>
    </w:p>
    <w:p>
      <w:pPr>
        <w:spacing w:line="360" w:lineRule="auto"/>
        <w:rPr>
          <w:rFonts w:ascii="仿宋_GB2312" w:hAnsi="仿宋_GB2312" w:eastAsia="仿宋_GB2312" w:cs="仿宋_GB2312"/>
          <w:sz w:val="21"/>
          <w:szCs w:val="21"/>
        </w:rPr>
      </w:pPr>
    </w:p>
    <w:p>
      <w:pPr>
        <w:spacing w:line="360" w:lineRule="auto"/>
        <w:rPr>
          <w:sz w:val="21"/>
          <w:szCs w:val="21"/>
          <w:u w:val="single"/>
        </w:rPr>
      </w:pPr>
      <w:r>
        <w:rPr>
          <w:rFonts w:hint="eastAsia"/>
          <w:sz w:val="21"/>
          <w:szCs w:val="21"/>
        </w:rPr>
        <w:t>致：</w:t>
      </w:r>
      <w:r>
        <w:rPr>
          <w:rFonts w:hint="eastAsia"/>
          <w:sz w:val="21"/>
          <w:szCs w:val="21"/>
          <w:u w:val="single"/>
        </w:rPr>
        <w:t>（采购人、采购代理机构）</w:t>
      </w:r>
    </w:p>
    <w:p>
      <w:pPr>
        <w:spacing w:line="360" w:lineRule="auto"/>
        <w:ind w:firstLine="420" w:firstLineChars="200"/>
        <w:rPr>
          <w:sz w:val="21"/>
          <w:szCs w:val="21"/>
        </w:rPr>
      </w:pPr>
      <w:r>
        <w:rPr>
          <w:rFonts w:hint="eastAsia"/>
          <w:sz w:val="21"/>
          <w:szCs w:val="21"/>
        </w:rPr>
        <w:t>我方参与</w:t>
      </w:r>
      <w:r>
        <w:rPr>
          <w:rFonts w:hint="eastAsia"/>
          <w:sz w:val="21"/>
          <w:szCs w:val="21"/>
          <w:u w:val="single"/>
        </w:rPr>
        <w:t>（项目名称）（项目编号：</w:t>
      </w:r>
      <w:r>
        <w:rPr>
          <w:sz w:val="21"/>
          <w:szCs w:val="21"/>
          <w:u w:val="single"/>
          <w:lang w:val="en-US"/>
        </w:rPr>
        <w:t xml:space="preserve">     </w:t>
      </w:r>
      <w:r>
        <w:rPr>
          <w:rFonts w:hint="eastAsia"/>
          <w:sz w:val="21"/>
          <w:szCs w:val="21"/>
          <w:u w:val="single"/>
        </w:rPr>
        <w:t>）</w:t>
      </w:r>
      <w:r>
        <w:rPr>
          <w:rFonts w:hint="eastAsia"/>
          <w:sz w:val="21"/>
          <w:szCs w:val="21"/>
        </w:rPr>
        <w:t>的采购活动，现承诺如下：</w:t>
      </w:r>
    </w:p>
    <w:p>
      <w:pPr>
        <w:spacing w:line="360" w:lineRule="auto"/>
        <w:ind w:firstLine="420" w:firstLineChars="200"/>
        <w:rPr>
          <w:sz w:val="21"/>
          <w:szCs w:val="21"/>
        </w:rPr>
      </w:pPr>
      <w:r>
        <w:rPr>
          <w:rFonts w:hint="eastAsia"/>
          <w:sz w:val="21"/>
          <w:szCs w:val="21"/>
        </w:rPr>
        <w:t>我方具有符合《中华人民共和国政府采购法》《中华人民共和国政府采购法实施条例》及磋商文件资格要求规定良好的商业信誉和健全的财务会计制度；依法缴纳税收和社会保障资金；参加本项目采购活动前三年内，在经营活动中没有重大违法记录。</w:t>
      </w:r>
    </w:p>
    <w:p>
      <w:pPr>
        <w:spacing w:line="360" w:lineRule="auto"/>
        <w:ind w:firstLine="420" w:firstLineChars="200"/>
        <w:rPr>
          <w:sz w:val="21"/>
          <w:szCs w:val="21"/>
        </w:rPr>
      </w:pPr>
      <w:r>
        <w:rPr>
          <w:rFonts w:hint="eastAsia"/>
          <w:sz w:val="21"/>
          <w:szCs w:val="21"/>
        </w:rPr>
        <w:t>若我方以上承诺不实，自愿承担提供虚假材料谋取成交的法律责任。</w:t>
      </w:r>
    </w:p>
    <w:p>
      <w:pPr>
        <w:spacing w:line="360" w:lineRule="auto"/>
        <w:ind w:firstLine="420" w:firstLineChars="200"/>
        <w:rPr>
          <w:sz w:val="21"/>
          <w:szCs w:val="21"/>
        </w:rPr>
      </w:pPr>
    </w:p>
    <w:p>
      <w:pPr>
        <w:spacing w:line="360" w:lineRule="auto"/>
        <w:ind w:firstLine="840" w:firstLineChars="400"/>
        <w:rPr>
          <w:sz w:val="21"/>
          <w:szCs w:val="21"/>
          <w:u w:val="single"/>
          <w:lang w:val="en-US"/>
        </w:rPr>
      </w:pPr>
      <w:r>
        <w:rPr>
          <w:rFonts w:hint="eastAsia"/>
          <w:sz w:val="21"/>
          <w:szCs w:val="21"/>
        </w:rPr>
        <w:t>承诺供应商（全称并加盖公章）：</w:t>
      </w:r>
      <w:r>
        <w:rPr>
          <w:sz w:val="21"/>
          <w:szCs w:val="21"/>
          <w:u w:val="single"/>
          <w:lang w:val="en-US"/>
        </w:rPr>
        <w:t xml:space="preserve">               </w:t>
      </w:r>
    </w:p>
    <w:p>
      <w:pPr>
        <w:spacing w:line="360" w:lineRule="auto"/>
        <w:ind w:firstLine="840" w:firstLineChars="400"/>
        <w:rPr>
          <w:sz w:val="21"/>
          <w:szCs w:val="21"/>
          <w:u w:val="single"/>
          <w:lang w:val="en-US"/>
        </w:rPr>
      </w:pPr>
      <w:r>
        <w:rPr>
          <w:rFonts w:hint="eastAsia"/>
          <w:sz w:val="21"/>
          <w:szCs w:val="21"/>
        </w:rPr>
        <w:t>日期：</w:t>
      </w:r>
      <w:r>
        <w:rPr>
          <w:sz w:val="21"/>
          <w:szCs w:val="21"/>
          <w:u w:val="single"/>
          <w:lang w:val="en-US"/>
        </w:rPr>
        <w:t xml:space="preserve">                                      </w:t>
      </w:r>
    </w:p>
    <w:p>
      <w:pPr>
        <w:rPr>
          <w:sz w:val="21"/>
          <w:szCs w:val="21"/>
          <w:lang w:val="en-US"/>
        </w:rPr>
      </w:pPr>
    </w:p>
    <w:p>
      <w:pPr>
        <w:pStyle w:val="4"/>
        <w:widowControl/>
        <w:spacing w:before="312" w:beforeLines="100" w:after="312" w:afterLines="100" w:line="360" w:lineRule="auto"/>
        <w:ind w:left="442" w:right="533"/>
        <w:rPr>
          <w:sz w:val="21"/>
          <w:szCs w:val="21"/>
          <w:lang w:val="en-US"/>
        </w:rPr>
      </w:pPr>
      <w:bookmarkStart w:id="402" w:name="_Toc10119"/>
      <w:r>
        <w:rPr>
          <w:rFonts w:hint="eastAsia"/>
          <w:sz w:val="21"/>
          <w:szCs w:val="21"/>
          <w:lang w:val="en-US"/>
        </w:rPr>
        <w:t>说明：供应商可自行选择是否提供本承诺函，若不提供本承诺函，应按</w:t>
      </w:r>
      <w:r>
        <w:rPr>
          <w:rFonts w:hint="eastAsia"/>
          <w:sz w:val="21"/>
          <w:szCs w:val="21"/>
        </w:rPr>
        <w:t>《中华人民共和国政府采购法》《中华人民共和国政府采购法实施条例》及磋商文件资格要求提供相应的证明材料。</w:t>
      </w:r>
      <w:bookmarkEnd w:id="402"/>
    </w:p>
    <w:p>
      <w:pPr>
        <w:pStyle w:val="4"/>
        <w:widowControl/>
        <w:spacing w:before="312" w:beforeLines="100" w:after="312" w:afterLines="100" w:line="360" w:lineRule="auto"/>
        <w:ind w:left="442" w:right="533"/>
        <w:rPr>
          <w:sz w:val="21"/>
          <w:szCs w:val="21"/>
          <w:lang w:val="en-US"/>
        </w:rPr>
      </w:pPr>
    </w:p>
    <w:p>
      <w:pPr>
        <w:pStyle w:val="4"/>
        <w:widowControl/>
        <w:spacing w:before="312" w:beforeLines="100" w:after="312" w:afterLines="100" w:line="360" w:lineRule="auto"/>
        <w:ind w:left="442" w:right="533"/>
        <w:rPr>
          <w:sz w:val="21"/>
          <w:szCs w:val="21"/>
          <w:lang w:val="en-US"/>
        </w:rPr>
      </w:pPr>
    </w:p>
    <w:p>
      <w:pPr>
        <w:pStyle w:val="4"/>
        <w:widowControl/>
        <w:spacing w:before="312" w:beforeLines="100" w:after="312" w:afterLines="100" w:line="360" w:lineRule="auto"/>
        <w:ind w:left="442" w:right="533"/>
        <w:rPr>
          <w:sz w:val="21"/>
          <w:szCs w:val="21"/>
          <w:lang w:val="en-US"/>
        </w:rPr>
      </w:pPr>
    </w:p>
    <w:p>
      <w:pPr>
        <w:pStyle w:val="4"/>
        <w:widowControl/>
        <w:spacing w:before="312" w:beforeLines="100" w:after="312" w:afterLines="100" w:line="360" w:lineRule="auto"/>
        <w:ind w:left="442" w:right="533"/>
        <w:rPr>
          <w:sz w:val="21"/>
          <w:szCs w:val="21"/>
          <w:lang w:val="en-US"/>
        </w:rPr>
      </w:pPr>
    </w:p>
    <w:p>
      <w:pPr>
        <w:pStyle w:val="4"/>
        <w:widowControl/>
        <w:spacing w:before="312" w:beforeLines="100" w:after="312" w:afterLines="100" w:line="360" w:lineRule="auto"/>
        <w:ind w:left="442" w:right="533"/>
        <w:rPr>
          <w:sz w:val="21"/>
          <w:szCs w:val="21"/>
          <w:lang w:val="en-US"/>
        </w:rPr>
      </w:pPr>
    </w:p>
    <w:p>
      <w:pPr>
        <w:pStyle w:val="4"/>
        <w:widowControl/>
        <w:spacing w:before="312" w:beforeLines="100" w:after="312" w:afterLines="100" w:line="360" w:lineRule="auto"/>
        <w:ind w:left="442" w:right="533"/>
        <w:rPr>
          <w:sz w:val="21"/>
          <w:szCs w:val="21"/>
          <w:lang w:val="en-US"/>
        </w:rPr>
      </w:pPr>
    </w:p>
    <w:p>
      <w:pPr>
        <w:pStyle w:val="4"/>
        <w:widowControl/>
        <w:spacing w:before="312" w:beforeLines="100" w:after="312" w:afterLines="100" w:line="360" w:lineRule="auto"/>
        <w:ind w:left="442" w:right="533"/>
        <w:rPr>
          <w:sz w:val="21"/>
          <w:szCs w:val="21"/>
          <w:lang w:val="en-US"/>
        </w:rPr>
      </w:pPr>
    </w:p>
    <w:p>
      <w:pPr>
        <w:pStyle w:val="4"/>
        <w:widowControl/>
        <w:spacing w:before="312" w:beforeLines="100" w:after="312" w:afterLines="100" w:line="360" w:lineRule="auto"/>
        <w:ind w:right="533"/>
        <w:jc w:val="both"/>
        <w:rPr>
          <w:sz w:val="21"/>
          <w:szCs w:val="21"/>
          <w:lang w:val="en-US"/>
        </w:rPr>
      </w:pPr>
    </w:p>
    <w:p>
      <w:pPr>
        <w:pStyle w:val="4"/>
        <w:widowControl/>
        <w:spacing w:before="312" w:beforeLines="100" w:after="312" w:afterLines="100" w:line="360" w:lineRule="auto"/>
        <w:ind w:left="442" w:right="533"/>
        <w:rPr>
          <w:sz w:val="21"/>
          <w:szCs w:val="21"/>
          <w:lang w:val="en-US"/>
        </w:rPr>
      </w:pPr>
      <w:bookmarkStart w:id="403" w:name="_Toc574"/>
      <w:r>
        <w:rPr>
          <w:rFonts w:hint="eastAsia"/>
          <w:sz w:val="21"/>
          <w:szCs w:val="21"/>
          <w:lang w:val="en-US"/>
        </w:rPr>
        <w:t>附件</w:t>
      </w:r>
      <w:r>
        <w:rPr>
          <w:sz w:val="21"/>
          <w:szCs w:val="21"/>
          <w:lang w:val="en-US"/>
        </w:rPr>
        <w:t xml:space="preserve"> 5：放弃磋商说明书</w:t>
      </w:r>
      <w:bookmarkEnd w:id="395"/>
      <w:bookmarkEnd w:id="396"/>
      <w:bookmarkEnd w:id="397"/>
      <w:bookmarkEnd w:id="398"/>
      <w:bookmarkEnd w:id="399"/>
      <w:bookmarkEnd w:id="400"/>
      <w:bookmarkEnd w:id="401"/>
      <w:r>
        <w:rPr>
          <w:rFonts w:hint="eastAsia"/>
          <w:sz w:val="21"/>
          <w:szCs w:val="21"/>
          <w:lang w:val="en-US"/>
        </w:rPr>
        <w:t>（如有）</w:t>
      </w:r>
      <w:bookmarkEnd w:id="403"/>
    </w:p>
    <w:p>
      <w:pPr>
        <w:spacing w:before="78" w:beforeLines="25" w:after="78" w:afterLines="25" w:line="360" w:lineRule="auto"/>
        <w:rPr>
          <w:sz w:val="21"/>
          <w:szCs w:val="21"/>
        </w:rPr>
      </w:pPr>
      <w:r>
        <w:rPr>
          <w:rFonts w:hint="eastAsia"/>
          <w:sz w:val="21"/>
          <w:szCs w:val="21"/>
          <w:lang w:val="en-US" w:bidi="ar"/>
        </w:rPr>
        <w:t>广东华盈工程管理有限公司：</w:t>
      </w:r>
    </w:p>
    <w:p>
      <w:pPr>
        <w:spacing w:before="78" w:beforeLines="25" w:after="78" w:afterLines="25" w:line="360" w:lineRule="auto"/>
        <w:ind w:firstLine="420" w:firstLineChars="200"/>
        <w:rPr>
          <w:sz w:val="21"/>
          <w:szCs w:val="21"/>
        </w:rPr>
      </w:pPr>
      <w:r>
        <w:rPr>
          <w:rFonts w:hint="eastAsia"/>
          <w:sz w:val="21"/>
          <w:szCs w:val="21"/>
          <w:lang w:val="en-US" w:bidi="ar"/>
        </w:rPr>
        <w:t>我方由于以下原因，经研究后决定放弃本项目的磋商，特此说明。</w:t>
      </w:r>
    </w:p>
    <w:p>
      <w:pPr>
        <w:pStyle w:val="16"/>
        <w:autoSpaceDE w:val="0"/>
        <w:autoSpaceDN w:val="0"/>
        <w:spacing w:before="25" w:after="25" w:line="360" w:lineRule="auto"/>
        <w:ind w:firstLine="420" w:firstLineChars="200"/>
        <w:jc w:val="left"/>
        <w:rPr>
          <w:rFonts w:ascii="宋体" w:hAnsi="宋体" w:cs="宋体"/>
          <w:sz w:val="21"/>
          <w:szCs w:val="21"/>
        </w:rPr>
      </w:pPr>
      <w:r>
        <w:rPr>
          <w:rFonts w:hint="eastAsia" w:ascii="宋体" w:hAnsi="宋体" w:cs="宋体"/>
          <w:kern w:val="0"/>
          <w:sz w:val="21"/>
          <w:szCs w:val="21"/>
          <w:lang w:bidi="ar"/>
        </w:rPr>
        <w:t>谢谢！</w:t>
      </w:r>
    </w:p>
    <w:tbl>
      <w:tblPr>
        <w:tblStyle w:val="18"/>
        <w:tblW w:w="9405" w:type="dxa"/>
        <w:tblInd w:w="256"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0" w:type="dxa"/>
          <w:bottom w:w="0" w:type="dxa"/>
          <w:right w:w="0" w:type="dxa"/>
        </w:tblCellMar>
      </w:tblPr>
      <w:tblGrid>
        <w:gridCol w:w="1642"/>
        <w:gridCol w:w="3909"/>
        <w:gridCol w:w="1374"/>
        <w:gridCol w:w="2480"/>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0" w:type="dxa"/>
            <w:bottom w:w="0" w:type="dxa"/>
            <w:right w:w="0" w:type="dxa"/>
          </w:tblCellMar>
        </w:tblPrEx>
        <w:trPr>
          <w:trHeight w:val="606" w:hRule="atLeast"/>
        </w:trPr>
        <w:tc>
          <w:tcPr>
            <w:tcW w:w="1642"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spacing w:before="140"/>
              <w:ind w:left="378" w:right="369"/>
              <w:jc w:val="center"/>
              <w:rPr>
                <w:rFonts w:ascii="宋体" w:hAnsi="宋体" w:cs="宋体"/>
                <w:b/>
                <w:sz w:val="21"/>
                <w:szCs w:val="21"/>
              </w:rPr>
            </w:pPr>
            <w:r>
              <w:rPr>
                <w:rFonts w:hint="eastAsia" w:ascii="宋体" w:hAnsi="宋体" w:cs="宋体"/>
                <w:b/>
                <w:kern w:val="0"/>
                <w:sz w:val="21"/>
                <w:szCs w:val="21"/>
                <w:lang w:bidi="ar"/>
              </w:rPr>
              <w:t>项目名称</w:t>
            </w:r>
          </w:p>
        </w:tc>
        <w:tc>
          <w:tcPr>
            <w:tcW w:w="3909"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c>
          <w:tcPr>
            <w:tcW w:w="1374"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spacing w:before="140"/>
              <w:ind w:left="262"/>
              <w:jc w:val="left"/>
              <w:rPr>
                <w:rFonts w:ascii="宋体" w:hAnsi="宋体" w:cs="宋体"/>
                <w:b/>
                <w:sz w:val="21"/>
                <w:szCs w:val="21"/>
              </w:rPr>
            </w:pPr>
            <w:r>
              <w:rPr>
                <w:rFonts w:hint="eastAsia" w:ascii="宋体" w:hAnsi="宋体" w:cs="宋体"/>
                <w:b/>
                <w:kern w:val="0"/>
                <w:sz w:val="21"/>
                <w:szCs w:val="21"/>
                <w:lang w:bidi="ar"/>
              </w:rPr>
              <w:t>项目编号</w:t>
            </w:r>
          </w:p>
        </w:tc>
        <w:tc>
          <w:tcPr>
            <w:tcW w:w="2480"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0" w:type="dxa"/>
            <w:bottom w:w="0" w:type="dxa"/>
            <w:right w:w="0" w:type="dxa"/>
          </w:tblCellMar>
        </w:tblPrEx>
        <w:trPr>
          <w:trHeight w:val="530" w:hRule="atLeast"/>
        </w:trPr>
        <w:tc>
          <w:tcPr>
            <w:tcW w:w="1642"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spacing w:before="102"/>
              <w:ind w:left="378" w:right="369"/>
              <w:jc w:val="center"/>
              <w:rPr>
                <w:rFonts w:ascii="宋体" w:hAnsi="宋体" w:cs="宋体"/>
                <w:b/>
                <w:sz w:val="21"/>
                <w:szCs w:val="21"/>
              </w:rPr>
            </w:pPr>
            <w:r>
              <w:rPr>
                <w:rFonts w:hint="eastAsia" w:ascii="宋体" w:hAnsi="宋体" w:cs="宋体"/>
                <w:b/>
                <w:kern w:val="0"/>
                <w:sz w:val="21"/>
                <w:szCs w:val="21"/>
                <w:lang w:bidi="ar"/>
              </w:rPr>
              <w:t>序号</w:t>
            </w:r>
          </w:p>
        </w:tc>
        <w:tc>
          <w:tcPr>
            <w:tcW w:w="3909"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spacing w:before="102"/>
              <w:ind w:left="1301" w:right="1293"/>
              <w:jc w:val="center"/>
              <w:rPr>
                <w:rFonts w:ascii="宋体" w:hAnsi="宋体" w:cs="宋体"/>
                <w:b/>
                <w:sz w:val="21"/>
                <w:szCs w:val="21"/>
              </w:rPr>
            </w:pPr>
            <w:r>
              <w:rPr>
                <w:rFonts w:hint="eastAsia" w:ascii="宋体" w:hAnsi="宋体" w:cs="宋体"/>
                <w:b/>
                <w:kern w:val="0"/>
                <w:sz w:val="21"/>
                <w:szCs w:val="21"/>
                <w:lang w:bidi="ar"/>
              </w:rPr>
              <w:t>放弃磋商原因</w:t>
            </w:r>
          </w:p>
        </w:tc>
        <w:tc>
          <w:tcPr>
            <w:tcW w:w="3854" w:type="dxa"/>
            <w:gridSpan w:val="2"/>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spacing w:before="102"/>
              <w:ind w:left="870"/>
              <w:jc w:val="left"/>
              <w:rPr>
                <w:rFonts w:ascii="宋体" w:hAnsi="宋体" w:cs="宋体"/>
                <w:b/>
                <w:sz w:val="21"/>
                <w:szCs w:val="21"/>
              </w:rPr>
            </w:pPr>
            <w:r>
              <w:rPr>
                <w:rFonts w:hint="eastAsia" w:ascii="宋体" w:hAnsi="宋体" w:cs="宋体"/>
                <w:b/>
                <w:kern w:val="0"/>
                <w:sz w:val="21"/>
                <w:szCs w:val="21"/>
                <w:lang w:bidi="ar"/>
              </w:rPr>
              <w:t>文件中条款编号及内容</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0" w:type="dxa"/>
            <w:bottom w:w="0" w:type="dxa"/>
            <w:right w:w="0" w:type="dxa"/>
          </w:tblCellMar>
        </w:tblPrEx>
        <w:trPr>
          <w:trHeight w:val="527" w:hRule="atLeast"/>
        </w:trPr>
        <w:tc>
          <w:tcPr>
            <w:tcW w:w="1642"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c>
          <w:tcPr>
            <w:tcW w:w="3909"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c>
          <w:tcPr>
            <w:tcW w:w="3854" w:type="dxa"/>
            <w:gridSpan w:val="2"/>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0" w:type="dxa"/>
            <w:bottom w:w="0" w:type="dxa"/>
            <w:right w:w="0" w:type="dxa"/>
          </w:tblCellMar>
        </w:tblPrEx>
        <w:trPr>
          <w:trHeight w:val="527" w:hRule="atLeast"/>
        </w:trPr>
        <w:tc>
          <w:tcPr>
            <w:tcW w:w="1642"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c>
          <w:tcPr>
            <w:tcW w:w="3909"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c>
          <w:tcPr>
            <w:tcW w:w="3854" w:type="dxa"/>
            <w:gridSpan w:val="2"/>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0" w:type="dxa"/>
            <w:bottom w:w="0" w:type="dxa"/>
            <w:right w:w="0" w:type="dxa"/>
          </w:tblCellMar>
        </w:tblPrEx>
        <w:trPr>
          <w:trHeight w:val="527" w:hRule="atLeast"/>
        </w:trPr>
        <w:tc>
          <w:tcPr>
            <w:tcW w:w="1642"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c>
          <w:tcPr>
            <w:tcW w:w="3909"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c>
          <w:tcPr>
            <w:tcW w:w="3854" w:type="dxa"/>
            <w:gridSpan w:val="2"/>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0" w:type="dxa"/>
            <w:bottom w:w="0" w:type="dxa"/>
            <w:right w:w="0" w:type="dxa"/>
          </w:tblCellMar>
        </w:tblPrEx>
        <w:trPr>
          <w:trHeight w:val="527" w:hRule="atLeast"/>
        </w:trPr>
        <w:tc>
          <w:tcPr>
            <w:tcW w:w="1642"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c>
          <w:tcPr>
            <w:tcW w:w="3909" w:type="dxa"/>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c>
          <w:tcPr>
            <w:tcW w:w="3854" w:type="dxa"/>
            <w:gridSpan w:val="2"/>
            <w:tcBorders>
              <w:top w:val="single" w:color="008080" w:sz="4" w:space="0"/>
              <w:left w:val="single" w:color="008080" w:sz="4" w:space="0"/>
              <w:bottom w:val="single" w:color="008080" w:sz="4" w:space="0"/>
              <w:right w:val="single" w:color="008080" w:sz="4" w:space="0"/>
            </w:tcBorders>
            <w:shd w:val="clear" w:color="auto" w:fill="auto"/>
          </w:tcPr>
          <w:p>
            <w:pPr>
              <w:pStyle w:val="16"/>
              <w:autoSpaceDE w:val="0"/>
              <w:autoSpaceDN w:val="0"/>
              <w:jc w:val="left"/>
              <w:rPr>
                <w:rFonts w:ascii="宋体" w:hAnsi="宋体" w:cs="宋体"/>
                <w:sz w:val="21"/>
                <w:szCs w:val="21"/>
              </w:rPr>
            </w:pPr>
          </w:p>
        </w:tc>
      </w:tr>
    </w:tbl>
    <w:p>
      <w:pPr>
        <w:pStyle w:val="16"/>
        <w:autoSpaceDE w:val="0"/>
        <w:autoSpaceDN w:val="0"/>
        <w:jc w:val="left"/>
        <w:rPr>
          <w:rFonts w:ascii="宋体" w:hAnsi="宋体" w:cs="宋体"/>
          <w:sz w:val="21"/>
          <w:szCs w:val="21"/>
        </w:rPr>
      </w:pPr>
    </w:p>
    <w:p>
      <w:pPr>
        <w:pStyle w:val="16"/>
        <w:autoSpaceDE w:val="0"/>
        <w:autoSpaceDN w:val="0"/>
        <w:spacing w:before="156" w:beforeLines="50" w:after="156" w:afterLines="50"/>
        <w:jc w:val="left"/>
        <w:rPr>
          <w:rFonts w:ascii="宋体" w:hAnsi="宋体" w:cs="宋体"/>
          <w:sz w:val="21"/>
          <w:szCs w:val="21"/>
        </w:rPr>
      </w:pPr>
    </w:p>
    <w:p>
      <w:pPr>
        <w:pStyle w:val="16"/>
        <w:tabs>
          <w:tab w:val="left" w:pos="4607"/>
        </w:tabs>
        <w:autoSpaceDE w:val="0"/>
        <w:autoSpaceDN w:val="0"/>
        <w:spacing w:before="156" w:beforeLines="50" w:after="156" w:afterLines="50" w:line="360" w:lineRule="auto"/>
        <w:jc w:val="left"/>
        <w:rPr>
          <w:rFonts w:ascii="宋体" w:hAnsi="宋体" w:cs="宋体"/>
          <w:sz w:val="21"/>
          <w:szCs w:val="21"/>
        </w:rPr>
      </w:pPr>
      <w:r>
        <w:rPr>
          <w:rFonts w:hint="eastAsia" w:ascii="宋体" w:hAnsi="宋体" w:cs="宋体"/>
          <w:spacing w:val="-1"/>
          <w:kern w:val="0"/>
          <w:sz w:val="21"/>
          <w:szCs w:val="21"/>
          <w:lang w:bidi="ar"/>
        </w:rPr>
        <w:t>响</w:t>
      </w:r>
      <w:r>
        <w:rPr>
          <w:rFonts w:hint="eastAsia" w:ascii="宋体" w:hAnsi="宋体" w:cs="宋体"/>
          <w:kern w:val="0"/>
          <w:sz w:val="21"/>
          <w:szCs w:val="21"/>
          <w:lang w:bidi="ar"/>
        </w:rPr>
        <w:t>应</w:t>
      </w:r>
      <w:r>
        <w:rPr>
          <w:rFonts w:hint="eastAsia" w:ascii="宋体" w:hAnsi="宋体" w:cs="宋体"/>
          <w:spacing w:val="-3"/>
          <w:kern w:val="0"/>
          <w:sz w:val="21"/>
          <w:szCs w:val="21"/>
          <w:lang w:bidi="ar"/>
        </w:rPr>
        <w:t>供</w:t>
      </w:r>
      <w:r>
        <w:rPr>
          <w:rFonts w:hint="eastAsia" w:ascii="宋体" w:hAnsi="宋体" w:cs="宋体"/>
          <w:kern w:val="0"/>
          <w:sz w:val="21"/>
          <w:szCs w:val="21"/>
          <w:lang w:bidi="ar"/>
        </w:rPr>
        <w:t>应</w:t>
      </w:r>
      <w:r>
        <w:rPr>
          <w:rFonts w:hint="eastAsia" w:ascii="宋体" w:hAnsi="宋体" w:cs="宋体"/>
          <w:spacing w:val="-3"/>
          <w:kern w:val="0"/>
          <w:sz w:val="21"/>
          <w:szCs w:val="21"/>
          <w:lang w:bidi="ar"/>
        </w:rPr>
        <w:t>商</w:t>
      </w:r>
      <w:r>
        <w:rPr>
          <w:rFonts w:hint="eastAsia" w:ascii="宋体" w:hAnsi="宋体" w:cs="宋体"/>
          <w:kern w:val="0"/>
          <w:sz w:val="21"/>
          <w:szCs w:val="21"/>
          <w:lang w:bidi="ar"/>
        </w:rPr>
        <w:t>名</w:t>
      </w:r>
      <w:r>
        <w:rPr>
          <w:rFonts w:hint="eastAsia" w:ascii="宋体" w:hAnsi="宋体" w:cs="宋体"/>
          <w:spacing w:val="-3"/>
          <w:kern w:val="0"/>
          <w:sz w:val="21"/>
          <w:szCs w:val="21"/>
          <w:lang w:bidi="ar"/>
        </w:rPr>
        <w:t>称</w:t>
      </w:r>
      <w:r>
        <w:rPr>
          <w:rFonts w:hint="eastAsia" w:ascii="宋体" w:hAnsi="宋体" w:cs="宋体"/>
          <w:kern w:val="0"/>
          <w:sz w:val="21"/>
          <w:szCs w:val="21"/>
          <w:lang w:bidi="ar"/>
        </w:rPr>
        <w:t>：</w:t>
      </w:r>
      <w:r>
        <w:rPr>
          <w:rFonts w:ascii="宋体" w:hAnsi="宋体" w:cs="宋体"/>
          <w:kern w:val="0"/>
          <w:sz w:val="21"/>
          <w:szCs w:val="21"/>
          <w:u w:val="single"/>
          <w:lang w:bidi="ar"/>
        </w:rPr>
        <w:t xml:space="preserve"> </w:t>
      </w:r>
      <w:r>
        <w:rPr>
          <w:rFonts w:ascii="宋体" w:hAnsi="宋体" w:cs="宋体"/>
          <w:kern w:val="0"/>
          <w:sz w:val="21"/>
          <w:szCs w:val="21"/>
          <w:u w:val="single"/>
          <w:lang w:bidi="ar"/>
        </w:rPr>
        <w:tab/>
      </w:r>
    </w:p>
    <w:p>
      <w:pPr>
        <w:pStyle w:val="16"/>
        <w:autoSpaceDE w:val="0"/>
        <w:autoSpaceDN w:val="0"/>
        <w:spacing w:before="156" w:beforeLines="50" w:after="156" w:afterLines="50" w:line="360" w:lineRule="auto"/>
        <w:ind w:left="2250"/>
        <w:jc w:val="left"/>
        <w:rPr>
          <w:rFonts w:ascii="宋体" w:hAnsi="宋体" w:cs="宋体"/>
          <w:sz w:val="21"/>
          <w:szCs w:val="21"/>
        </w:rPr>
      </w:pPr>
      <w:r>
        <w:rPr>
          <w:rFonts w:hint="eastAsia" w:ascii="宋体" w:hAnsi="宋体" w:cs="宋体"/>
          <w:kern w:val="0"/>
          <w:sz w:val="21"/>
          <w:szCs w:val="21"/>
          <w:lang w:bidi="ar"/>
        </w:rPr>
        <w:t>（公章）</w:t>
      </w:r>
    </w:p>
    <w:p>
      <w:pPr>
        <w:spacing w:before="156" w:beforeLines="50" w:after="156" w:afterLines="50" w:line="360" w:lineRule="auto"/>
        <w:rPr>
          <w:sz w:val="21"/>
          <w:szCs w:val="21"/>
        </w:rPr>
      </w:pPr>
      <w:r>
        <w:rPr>
          <w:rFonts w:hint="eastAsia"/>
          <w:sz w:val="21"/>
          <w:szCs w:val="21"/>
          <w:lang w:val="en-US" w:bidi="ar"/>
        </w:rPr>
        <w:t>响应供应商法定代表人（或法定代表人授权代表）（签名或盖私章）：</w:t>
      </w:r>
      <w:r>
        <w:rPr>
          <w:sz w:val="21"/>
          <w:szCs w:val="21"/>
          <w:lang w:val="en-US" w:bidi="ar"/>
        </w:rPr>
        <w:t xml:space="preserve"> </w:t>
      </w:r>
      <w:r>
        <w:rPr>
          <w:sz w:val="21"/>
          <w:szCs w:val="21"/>
          <w:u w:val="single"/>
          <w:lang w:val="en-US" w:bidi="ar"/>
        </w:rPr>
        <w:t xml:space="preserve">                      </w:t>
      </w:r>
      <w:r>
        <w:rPr>
          <w:sz w:val="21"/>
          <w:szCs w:val="21"/>
          <w:lang w:val="en-US" w:bidi="ar"/>
        </w:rPr>
        <w:tab/>
      </w:r>
    </w:p>
    <w:p>
      <w:pPr>
        <w:pStyle w:val="16"/>
        <w:autoSpaceDE w:val="0"/>
        <w:autoSpaceDN w:val="0"/>
        <w:spacing w:before="156" w:beforeLines="50" w:after="156" w:afterLines="50"/>
        <w:jc w:val="left"/>
        <w:rPr>
          <w:rFonts w:ascii="宋体" w:hAnsi="宋体" w:cs="宋体"/>
          <w:sz w:val="21"/>
          <w:szCs w:val="21"/>
        </w:rPr>
      </w:pPr>
      <w:r>
        <w:rPr>
          <w:rFonts w:hint="eastAsia" w:ascii="宋体" w:hAnsi="宋体" w:cs="宋体"/>
          <w:kern w:val="0"/>
          <w:sz w:val="21"/>
          <w:szCs w:val="21"/>
          <w:lang w:bidi="ar"/>
        </w:rPr>
        <w:t>日期：</w:t>
      </w:r>
      <w:r>
        <w:rPr>
          <w:rFonts w:ascii="宋体" w:hAnsi="宋体" w:cs="宋体"/>
          <w:kern w:val="0"/>
          <w:sz w:val="21"/>
          <w:szCs w:val="21"/>
          <w:lang w:bidi="ar"/>
        </w:rPr>
        <w:tab/>
      </w:r>
      <w:r>
        <w:rPr>
          <w:rFonts w:hint="eastAsia" w:ascii="宋体" w:hAnsi="宋体" w:cs="宋体"/>
          <w:kern w:val="0"/>
          <w:sz w:val="21"/>
          <w:szCs w:val="21"/>
          <w:lang w:bidi="ar"/>
        </w:rPr>
        <w:t>年</w:t>
      </w:r>
      <w:r>
        <w:rPr>
          <w:rFonts w:ascii="宋体" w:hAnsi="宋体" w:cs="宋体"/>
          <w:kern w:val="0"/>
          <w:sz w:val="21"/>
          <w:szCs w:val="21"/>
          <w:lang w:bidi="ar"/>
        </w:rPr>
        <w:t xml:space="preserve">    </w:t>
      </w:r>
      <w:r>
        <w:rPr>
          <w:rFonts w:ascii="宋体" w:hAnsi="宋体" w:cs="宋体"/>
          <w:kern w:val="0"/>
          <w:sz w:val="21"/>
          <w:szCs w:val="21"/>
          <w:lang w:bidi="ar"/>
        </w:rPr>
        <w:tab/>
      </w:r>
      <w:r>
        <w:rPr>
          <w:rFonts w:hint="eastAsia" w:ascii="宋体" w:hAnsi="宋体" w:cs="宋体"/>
          <w:kern w:val="0"/>
          <w:sz w:val="21"/>
          <w:szCs w:val="21"/>
          <w:lang w:bidi="ar"/>
        </w:rPr>
        <w:t>月</w:t>
      </w:r>
      <w:r>
        <w:rPr>
          <w:rFonts w:ascii="宋体" w:hAnsi="宋体" w:cs="宋体"/>
          <w:kern w:val="0"/>
          <w:sz w:val="21"/>
          <w:szCs w:val="21"/>
          <w:lang w:bidi="ar"/>
        </w:rPr>
        <w:tab/>
      </w:r>
      <w:r>
        <w:rPr>
          <w:rFonts w:ascii="宋体" w:hAnsi="宋体" w:cs="宋体"/>
          <w:kern w:val="0"/>
          <w:sz w:val="21"/>
          <w:szCs w:val="21"/>
          <w:lang w:bidi="ar"/>
        </w:rPr>
        <w:t xml:space="preserve">   日</w:t>
      </w: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pStyle w:val="16"/>
        <w:autoSpaceDE w:val="0"/>
        <w:autoSpaceDN w:val="0"/>
        <w:jc w:val="left"/>
        <w:rPr>
          <w:rFonts w:ascii="宋体" w:hAnsi="宋体" w:cs="宋体"/>
          <w:sz w:val="21"/>
          <w:szCs w:val="21"/>
        </w:rPr>
      </w:pPr>
    </w:p>
    <w:p>
      <w:pPr>
        <w:spacing w:before="78" w:beforeLines="25" w:after="78" w:afterLines="25" w:line="360" w:lineRule="auto"/>
        <w:ind w:left="860" w:leftChars="200" w:hanging="420" w:hangingChars="200"/>
        <w:rPr>
          <w:sz w:val="21"/>
          <w:szCs w:val="21"/>
          <w:lang w:val="en-US" w:bidi="ar"/>
        </w:rPr>
      </w:pPr>
      <w:r>
        <w:rPr>
          <w:rFonts w:hint="eastAsia"/>
          <w:sz w:val="21"/>
          <w:szCs w:val="21"/>
          <w:lang w:val="en-US" w:bidi="ar"/>
        </w:rPr>
        <w:t>注：</w:t>
      </w:r>
      <w:r>
        <w:rPr>
          <w:sz w:val="21"/>
          <w:szCs w:val="21"/>
          <w:lang w:val="en-US" w:bidi="ar"/>
        </w:rPr>
        <w:t>1.</w:t>
      </w:r>
      <w:r>
        <w:rPr>
          <w:rFonts w:hint="eastAsia"/>
          <w:sz w:val="21"/>
          <w:szCs w:val="21"/>
          <w:lang w:val="en-US"/>
        </w:rPr>
        <w:t>如同意参加磋商，</w:t>
      </w:r>
      <w:r>
        <w:rPr>
          <w:rFonts w:hint="eastAsia"/>
          <w:sz w:val="21"/>
          <w:szCs w:val="21"/>
          <w:lang w:val="en-US" w:bidi="ar"/>
        </w:rPr>
        <w:t>响应</w:t>
      </w:r>
      <w:r>
        <w:rPr>
          <w:rFonts w:hint="eastAsia"/>
          <w:sz w:val="21"/>
          <w:szCs w:val="21"/>
          <w:lang w:val="en-US"/>
        </w:rPr>
        <w:t>供应商可</w:t>
      </w:r>
      <w:r>
        <w:rPr>
          <w:rFonts w:hint="eastAsia"/>
          <w:sz w:val="21"/>
          <w:szCs w:val="21"/>
        </w:rPr>
        <w:t>不提供本表或本表为空表。</w:t>
      </w:r>
    </w:p>
    <w:p>
      <w:pPr>
        <w:spacing w:before="78" w:beforeLines="25" w:after="78" w:afterLines="25" w:line="360" w:lineRule="auto"/>
        <w:ind w:left="858" w:leftChars="390"/>
        <w:rPr>
          <w:sz w:val="21"/>
          <w:szCs w:val="21"/>
        </w:rPr>
      </w:pPr>
      <w:r>
        <w:rPr>
          <w:sz w:val="21"/>
          <w:szCs w:val="21"/>
          <w:lang w:val="en-US" w:bidi="ar"/>
        </w:rPr>
        <w:t xml:space="preserve">2.响应供应商获取磋商文件后决定不参加该项目磋商，应在获取磋商文件后 5 </w:t>
      </w:r>
      <w:r>
        <w:rPr>
          <w:rFonts w:hint="eastAsia"/>
          <w:sz w:val="21"/>
          <w:szCs w:val="21"/>
          <w:lang w:val="en-US" w:bidi="ar"/>
        </w:rPr>
        <w:t>个工作日内将放弃磋商说明书送达我公司，如在规定期内未收到响应供应商书面函件，则视为响应供应商同意参加磋商，如磋商截止时无故（不可抗力事件影响除外）不参加磋商，采购机构将其列入不诚信供应商名单，在今后参加采购活动评审时，给予扣分处理。</w:t>
      </w:r>
    </w:p>
    <w:p>
      <w:pPr>
        <w:spacing w:before="78" w:beforeLines="25" w:after="78" w:afterLines="25" w:line="360" w:lineRule="auto"/>
        <w:ind w:firstLine="840" w:firstLineChars="400"/>
      </w:pPr>
      <w:r>
        <w:rPr>
          <w:sz w:val="21"/>
          <w:szCs w:val="21"/>
          <w:lang w:val="en-US" w:bidi="ar-SA"/>
        </w:rPr>
        <mc:AlternateContent>
          <mc:Choice Requires="wpg">
            <w:drawing>
              <wp:anchor distT="0" distB="0" distL="114300" distR="114300" simplePos="0" relativeHeight="251670528" behindDoc="0" locked="0" layoutInCell="1" allowOverlap="1">
                <wp:simplePos x="0" y="0"/>
                <wp:positionH relativeFrom="page">
                  <wp:posOffset>6696075</wp:posOffset>
                </wp:positionH>
                <wp:positionV relativeFrom="paragraph">
                  <wp:posOffset>24765</wp:posOffset>
                </wp:positionV>
                <wp:extent cx="12700" cy="170815"/>
                <wp:effectExtent l="0" t="0" r="0" b="0"/>
                <wp:wrapNone/>
                <wp:docPr id="11" name="组合 155"/>
                <wp:cNvGraphicFramePr/>
                <a:graphic xmlns:a="http://schemas.openxmlformats.org/drawingml/2006/main">
                  <a:graphicData uri="http://schemas.microsoft.com/office/word/2010/wordprocessingGroup">
                    <wpg:wgp>
                      <wpg:cNvGrpSpPr/>
                      <wpg:grpSpPr>
                        <a:xfrm>
                          <a:off x="0" y="0"/>
                          <a:ext cx="12700" cy="170815"/>
                          <a:chOff x="10546" y="39"/>
                          <a:chExt cx="20" cy="269203203"/>
                        </a:xfrm>
                      </wpg:grpSpPr>
                      <wps:wsp>
                        <wps:cNvPr id="12" name="自选图形 156"/>
                        <wps:cNvSpPr/>
                        <wps:spPr>
                          <a:xfrm>
                            <a:off x="10552" y="39"/>
                            <a:ext cx="12" cy="269"/>
                          </a:xfrm>
                          <a:custGeom>
                            <a:avLst/>
                            <a:gdLst/>
                            <a:ahLst/>
                            <a:cxnLst/>
                            <a:rect l="0" t="0" r="0" b="0"/>
                            <a:pathLst>
                              <a:path w="12" h="269">
                                <a:moveTo>
                                  <a:pt x="12" y="264"/>
                                </a:moveTo>
                                <a:lnTo>
                                  <a:pt x="0" y="264"/>
                                </a:lnTo>
                                <a:lnTo>
                                  <a:pt x="0" y="269"/>
                                </a:lnTo>
                                <a:lnTo>
                                  <a:pt x="12" y="269"/>
                                </a:lnTo>
                                <a:lnTo>
                                  <a:pt x="12" y="264"/>
                                </a:lnTo>
                                <a:moveTo>
                                  <a:pt x="12" y="0"/>
                                </a:moveTo>
                                <a:lnTo>
                                  <a:pt x="0" y="0"/>
                                </a:lnTo>
                                <a:lnTo>
                                  <a:pt x="0" y="5"/>
                                </a:lnTo>
                                <a:lnTo>
                                  <a:pt x="12" y="5"/>
                                </a:lnTo>
                                <a:lnTo>
                                  <a:pt x="12" y="0"/>
                                </a:lnTo>
                              </a:path>
                            </a:pathLst>
                          </a:custGeom>
                          <a:solidFill>
                            <a:srgbClr val="7E7E7E"/>
                          </a:solidFill>
                          <a:ln>
                            <a:noFill/>
                          </a:ln>
                        </wps:spPr>
                        <wps:bodyPr upright="1"/>
                      </wps:wsp>
                      <wps:wsp>
                        <wps:cNvPr id="13" name="直线 157"/>
                        <wps:cNvCnPr/>
                        <wps:spPr>
                          <a:xfrm>
                            <a:off x="10555" y="44"/>
                            <a:ext cx="0" cy="259"/>
                          </a:xfrm>
                          <a:prstGeom prst="line">
                            <a:avLst/>
                          </a:prstGeom>
                          <a:ln w="3048" cap="flat" cmpd="sng">
                            <a:solidFill>
                              <a:srgbClr val="7E7E7E"/>
                            </a:solidFill>
                            <a:prstDash val="solid"/>
                            <a:headEnd type="none" w="med" len="med"/>
                            <a:tailEnd type="none" w="med" len="med"/>
                          </a:ln>
                        </wps:spPr>
                        <wps:bodyPr/>
                      </wps:wsp>
                      <wps:wsp>
                        <wps:cNvPr id="14" name="自选图形 158"/>
                        <wps:cNvSpPr/>
                        <wps:spPr>
                          <a:xfrm>
                            <a:off x="10545" y="39"/>
                            <a:ext cx="12" cy="269"/>
                          </a:xfrm>
                          <a:custGeom>
                            <a:avLst/>
                            <a:gdLst/>
                            <a:ahLst/>
                            <a:cxnLst/>
                            <a:rect l="0" t="0" r="0" b="0"/>
                            <a:pathLst>
                              <a:path w="12" h="269">
                                <a:moveTo>
                                  <a:pt x="12" y="264"/>
                                </a:moveTo>
                                <a:lnTo>
                                  <a:pt x="0" y="264"/>
                                </a:lnTo>
                                <a:lnTo>
                                  <a:pt x="0" y="269"/>
                                </a:lnTo>
                                <a:lnTo>
                                  <a:pt x="12" y="269"/>
                                </a:lnTo>
                                <a:lnTo>
                                  <a:pt x="12" y="264"/>
                                </a:lnTo>
                                <a:moveTo>
                                  <a:pt x="12" y="0"/>
                                </a:moveTo>
                                <a:lnTo>
                                  <a:pt x="0" y="0"/>
                                </a:lnTo>
                                <a:lnTo>
                                  <a:pt x="0" y="5"/>
                                </a:lnTo>
                                <a:lnTo>
                                  <a:pt x="12" y="5"/>
                                </a:lnTo>
                                <a:lnTo>
                                  <a:pt x="12" y="0"/>
                                </a:lnTo>
                              </a:path>
                            </a:pathLst>
                          </a:custGeom>
                          <a:solidFill>
                            <a:srgbClr val="7E7E7E"/>
                          </a:solidFill>
                          <a:ln>
                            <a:noFill/>
                          </a:ln>
                        </wps:spPr>
                        <wps:bodyPr upright="1"/>
                      </wps:wsp>
                      <wps:wsp>
                        <wps:cNvPr id="15" name="直线 159"/>
                        <wps:cNvCnPr/>
                        <wps:spPr>
                          <a:xfrm>
                            <a:off x="10555" y="44"/>
                            <a:ext cx="0" cy="259"/>
                          </a:xfrm>
                          <a:prstGeom prst="line">
                            <a:avLst/>
                          </a:prstGeom>
                          <a:ln w="3048" cap="flat" cmpd="sng">
                            <a:solidFill>
                              <a:srgbClr val="7E7E7E"/>
                            </a:solidFill>
                            <a:prstDash val="solid"/>
                            <a:headEnd type="none" w="med" len="med"/>
                            <a:tailEnd type="none" w="med" len="med"/>
                          </a:ln>
                        </wps:spPr>
                        <wps:bodyPr/>
                      </wps:wsp>
                    </wpg:wgp>
                  </a:graphicData>
                </a:graphic>
              </wp:anchor>
            </w:drawing>
          </mc:Choice>
          <mc:Fallback>
            <w:pict>
              <v:group id="组合 155" o:spid="_x0000_s1026" o:spt="203" style="position:absolute;left:0pt;margin-left:527.25pt;margin-top:1.95pt;height:13.45pt;width:1pt;mso-position-horizontal-relative:page;z-index:251670528;mso-width-relative:page;mso-height-relative:page;" coordorigin="10546,39" coordsize="20,269203203" o:gfxdata="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AAAAAGRycy9QSwECFAAU&#10;AAAACACHTuJAqKTRgdkAAAAKAQAADwAAAAAAAAABACAAAAAiAAAAZHJzL2Rvd25yZXYueG1sUEsB&#10;AhQAFAAAAAgAh07iQC8rCDCDAwAA3w0AAA4AAAAAAAAAAQAgAAAAKAEAAGRycy9lMm9Eb2MueG1s&#10;UEsFBgAAAAAGAAYAWQEAAB0HAAAAAA==&#10;">
                <o:lock v:ext="edit" aspectratio="f"/>
                <v:shape id="自选图形 156" o:spid="_x0000_s1026" o:spt="100" style="position:absolute;left:10552;top:39;height:269;width:12;" fillcolor="#7E7E7E" filled="t" stroked="f" coordsize="12,269" o:gfxdata="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gUui8AAAA&#10;2wAAAA8AAAAAAAAAAQAgAAAAIgAAAGRycy9kb3ducmV2LnhtbFBLAQIUABQAAAAIAIdO4kAzLwWe&#10;OwAAADkAAAAQAAAAAAAAAAEAIAAAAAsBAABkcnMvc2hhcGV4bWwueG1sUEsFBgAAAAAGAAYAWwEA&#10;ALUDAAAAAA==&#10;" path="m12,264l0,264,0,269,12,269,12,264m12,0l0,0,0,5,12,5,12,0e">
                  <v:fill on="t" focussize="0,0"/>
                  <v:stroke on="f"/>
                  <v:imagedata o:title=""/>
                  <o:lock v:ext="edit" aspectratio="f"/>
                </v:shape>
                <v:line id="直线 157" o:spid="_x0000_s1026" o:spt="20" style="position:absolute;left:10555;top:44;height:259;width:0;" filled="f" stroked="t" coordsize="21600,21600" o:gfxdata="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r5lIbUAAADbAAAADwAA&#10;AAAAAAABACAAAAAiAAAAZHJzL2Rvd25yZXYueG1sUEsBAhQAFAAAAAgAh07iQDMvBZ47AAAAOQAA&#10;ABAAAAAAAAAAAQAgAAAABAEAAGRycy9zaGFwZXhtbC54bWxQSwUGAAAAAAYABgBbAQAArgMAAAAA&#10;">
                  <v:fill on="f" focussize="0,0"/>
                  <v:stroke weight="0.24pt" color="#7E7E7E" joinstyle="round"/>
                  <v:imagedata o:title=""/>
                  <o:lock v:ext="edit" aspectratio="f"/>
                </v:line>
                <v:shape id="自选图形 158" o:spid="_x0000_s1026" o:spt="100" style="position:absolute;left:10545;top:39;height:269;width:12;" fillcolor="#7E7E7E" filled="t" stroked="f" coordsize="12,269" o:gfxdata="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Fbwe8AAAA&#10;2wAAAA8AAAAAAAAAAQAgAAAAIgAAAGRycy9kb3ducmV2LnhtbFBLAQIUABQAAAAIAIdO4kAzLwWe&#10;OwAAADkAAAAQAAAAAAAAAAEAIAAAAAsBAABkcnMvc2hhcGV4bWwueG1sUEsFBgAAAAAGAAYAWwEA&#10;ALUDAAAAAA==&#10;" path="m12,264l0,264,0,269,12,269,12,264m12,0l0,0,0,5,12,5,12,0e">
                  <v:fill on="t" focussize="0,0"/>
                  <v:stroke on="f"/>
                  <v:imagedata o:title=""/>
                  <o:lock v:ext="edit" aspectratio="f"/>
                </v:shape>
                <v:line id="直线 159" o:spid="_x0000_s1026" o:spt="20" style="position:absolute;left:10555;top:44;height:259;width:0;" filled="f" stroked="t" coordsize="21600,21600" o:gfxdata="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3htYzrUAAADbAAAADwAA&#10;AAAAAAABACAAAAAiAAAAZHJzL2Rvd25yZXYueG1sUEsBAhQAFAAAAAgAh07iQDMvBZ47AAAAOQAA&#10;ABAAAAAAAAAAAQAgAAAABAEAAGRycy9zaGFwZXhtbC54bWxQSwUGAAAAAAYABgBbAQAArgMAAAAA&#10;">
                  <v:fill on="f" focussize="0,0"/>
                  <v:stroke weight="0.24pt" color="#7E7E7E" joinstyle="round"/>
                  <v:imagedata o:title=""/>
                  <o:lock v:ext="edit" aspectratio="f"/>
                </v:line>
              </v:group>
            </w:pict>
          </mc:Fallback>
        </mc:AlternateContent>
      </w:r>
    </w:p>
    <w:sectPr>
      <w:footerReference r:id="rId6" w:type="default"/>
      <w:pgSz w:w="11906" w:h="16838"/>
      <w:pgMar w:top="1440" w:right="1083" w:bottom="1440" w:left="1083" w:header="737" w:footer="1134" w:gutter="0"/>
      <w:pgBorders>
        <w:bottom w:val="single" w:color="auto" w:sz="4" w:space="1"/>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val="en-US" w:bidi="ar-SA"/>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124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F9DC5"/>
    <w:multiLevelType w:val="singleLevel"/>
    <w:tmpl w:val="95EF9DC5"/>
    <w:lvl w:ilvl="0" w:tentative="0">
      <w:start w:val="1"/>
      <w:numFmt w:val="decimal"/>
      <w:suff w:val="nothing"/>
      <w:lvlText w:val="%1、"/>
      <w:lvlJc w:val="left"/>
    </w:lvl>
  </w:abstractNum>
  <w:abstractNum w:abstractNumId="1">
    <w:nsid w:val="52B95AEE"/>
    <w:multiLevelType w:val="multilevel"/>
    <w:tmpl w:val="52B95AEE"/>
    <w:lvl w:ilvl="0" w:tentative="0">
      <w:start w:val="1"/>
      <w:numFmt w:val="decimal"/>
      <w:suff w:val="nothing"/>
      <w:lvlText w:val="%1."/>
      <w:lvlJc w:val="left"/>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
    <w:nsid w:val="52B95AEF"/>
    <w:multiLevelType w:val="singleLevel"/>
    <w:tmpl w:val="52B95AEF"/>
    <w:lvl w:ilvl="0" w:tentative="0">
      <w:start w:val="10"/>
      <w:numFmt w:val="decimal"/>
      <w:suff w:val="nothing"/>
      <w:lvlText w:val="（%1）"/>
      <w:lvlJc w:val="left"/>
    </w:lvl>
  </w:abstractNum>
  <w:abstractNum w:abstractNumId="3">
    <w:nsid w:val="7EA69547"/>
    <w:multiLevelType w:val="singleLevel"/>
    <w:tmpl w:val="7EA69547"/>
    <w:lvl w:ilvl="0" w:tentative="0">
      <w:start w:val="6"/>
      <w:numFmt w:val="decimal"/>
      <w:suff w:val="nothing"/>
      <w:lvlText w:val="%1）"/>
      <w:lvlJc w:val="left"/>
    </w:lvl>
  </w:abstractNum>
  <w:num w:numId="1">
    <w:abstractNumId w:val="1"/>
    <w:lvlOverride w:ilvl="0">
      <w:startOverride w:val="1"/>
    </w:lvlOverride>
  </w:num>
  <w:num w:numId="2">
    <w:abstractNumId w:val="2"/>
    <w:lvlOverride w:ilvl="0">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NWU5Mjk3ZTQ5Y2Q3YjNiZjQ0Y2I4NWFhN2M5YzEifQ=="/>
  </w:docVars>
  <w:rsids>
    <w:rsidRoot w:val="00E41A6B"/>
    <w:rsid w:val="00016A17"/>
    <w:rsid w:val="00026374"/>
    <w:rsid w:val="00027F47"/>
    <w:rsid w:val="00031285"/>
    <w:rsid w:val="000400BB"/>
    <w:rsid w:val="000453E7"/>
    <w:rsid w:val="00052585"/>
    <w:rsid w:val="000657B1"/>
    <w:rsid w:val="00066A2B"/>
    <w:rsid w:val="00067E7B"/>
    <w:rsid w:val="0007089D"/>
    <w:rsid w:val="000B56C0"/>
    <w:rsid w:val="000E1174"/>
    <w:rsid w:val="00120E25"/>
    <w:rsid w:val="00131AAA"/>
    <w:rsid w:val="00134A94"/>
    <w:rsid w:val="0015063F"/>
    <w:rsid w:val="0015166D"/>
    <w:rsid w:val="00163873"/>
    <w:rsid w:val="00185AFB"/>
    <w:rsid w:val="001A3CD9"/>
    <w:rsid w:val="001A6EBC"/>
    <w:rsid w:val="001C6796"/>
    <w:rsid w:val="001C7417"/>
    <w:rsid w:val="001E0B52"/>
    <w:rsid w:val="001E5448"/>
    <w:rsid w:val="002154B3"/>
    <w:rsid w:val="00261A18"/>
    <w:rsid w:val="00263178"/>
    <w:rsid w:val="00275473"/>
    <w:rsid w:val="002754FE"/>
    <w:rsid w:val="00284E8B"/>
    <w:rsid w:val="00292CCF"/>
    <w:rsid w:val="002A506A"/>
    <w:rsid w:val="002A779F"/>
    <w:rsid w:val="002C5900"/>
    <w:rsid w:val="002E5969"/>
    <w:rsid w:val="002F3786"/>
    <w:rsid w:val="003346C7"/>
    <w:rsid w:val="00334A46"/>
    <w:rsid w:val="00360BC4"/>
    <w:rsid w:val="00373A79"/>
    <w:rsid w:val="003763ED"/>
    <w:rsid w:val="003917AC"/>
    <w:rsid w:val="003A2F5E"/>
    <w:rsid w:val="003B35F8"/>
    <w:rsid w:val="003C056A"/>
    <w:rsid w:val="003C3912"/>
    <w:rsid w:val="003C4AA1"/>
    <w:rsid w:val="003D0044"/>
    <w:rsid w:val="003D56E6"/>
    <w:rsid w:val="003F46A4"/>
    <w:rsid w:val="0041582A"/>
    <w:rsid w:val="004173D1"/>
    <w:rsid w:val="00441CB2"/>
    <w:rsid w:val="00443B25"/>
    <w:rsid w:val="00444215"/>
    <w:rsid w:val="00456990"/>
    <w:rsid w:val="004C1A71"/>
    <w:rsid w:val="004D4927"/>
    <w:rsid w:val="004D5D8F"/>
    <w:rsid w:val="004E4ED2"/>
    <w:rsid w:val="00501FDA"/>
    <w:rsid w:val="00516443"/>
    <w:rsid w:val="005164DB"/>
    <w:rsid w:val="0051781C"/>
    <w:rsid w:val="00524757"/>
    <w:rsid w:val="005477CC"/>
    <w:rsid w:val="00565C4C"/>
    <w:rsid w:val="005760B6"/>
    <w:rsid w:val="005A6638"/>
    <w:rsid w:val="005C74AC"/>
    <w:rsid w:val="00602927"/>
    <w:rsid w:val="00611FC0"/>
    <w:rsid w:val="0062579B"/>
    <w:rsid w:val="0063254F"/>
    <w:rsid w:val="006365B8"/>
    <w:rsid w:val="0064471D"/>
    <w:rsid w:val="00651288"/>
    <w:rsid w:val="006921F1"/>
    <w:rsid w:val="006945E3"/>
    <w:rsid w:val="006B4E18"/>
    <w:rsid w:val="006E7890"/>
    <w:rsid w:val="006F0AD5"/>
    <w:rsid w:val="00724046"/>
    <w:rsid w:val="007518DE"/>
    <w:rsid w:val="00775533"/>
    <w:rsid w:val="007812CC"/>
    <w:rsid w:val="007A517E"/>
    <w:rsid w:val="007C2FC5"/>
    <w:rsid w:val="007E1FC4"/>
    <w:rsid w:val="007E512C"/>
    <w:rsid w:val="008176EB"/>
    <w:rsid w:val="00835434"/>
    <w:rsid w:val="008379A7"/>
    <w:rsid w:val="008410EF"/>
    <w:rsid w:val="00844FF0"/>
    <w:rsid w:val="00846A00"/>
    <w:rsid w:val="00850D92"/>
    <w:rsid w:val="0085172D"/>
    <w:rsid w:val="008750B4"/>
    <w:rsid w:val="00887AB7"/>
    <w:rsid w:val="0089692E"/>
    <w:rsid w:val="008B1243"/>
    <w:rsid w:val="008B1350"/>
    <w:rsid w:val="008B40BF"/>
    <w:rsid w:val="008C22E7"/>
    <w:rsid w:val="008D600B"/>
    <w:rsid w:val="008F371C"/>
    <w:rsid w:val="008F5A96"/>
    <w:rsid w:val="00905BF8"/>
    <w:rsid w:val="00937D77"/>
    <w:rsid w:val="00956B0D"/>
    <w:rsid w:val="00956B54"/>
    <w:rsid w:val="00964F48"/>
    <w:rsid w:val="00965A68"/>
    <w:rsid w:val="00976E65"/>
    <w:rsid w:val="009853F8"/>
    <w:rsid w:val="00986912"/>
    <w:rsid w:val="009A3B67"/>
    <w:rsid w:val="009E2AAC"/>
    <w:rsid w:val="009F2790"/>
    <w:rsid w:val="00A02887"/>
    <w:rsid w:val="00A037FA"/>
    <w:rsid w:val="00A13A1C"/>
    <w:rsid w:val="00A23055"/>
    <w:rsid w:val="00A37C92"/>
    <w:rsid w:val="00A424E3"/>
    <w:rsid w:val="00A519A4"/>
    <w:rsid w:val="00A5303D"/>
    <w:rsid w:val="00A6108B"/>
    <w:rsid w:val="00A64363"/>
    <w:rsid w:val="00A74DF0"/>
    <w:rsid w:val="00A804BD"/>
    <w:rsid w:val="00A859C4"/>
    <w:rsid w:val="00A9013B"/>
    <w:rsid w:val="00A93DDC"/>
    <w:rsid w:val="00AD4A6B"/>
    <w:rsid w:val="00AD7524"/>
    <w:rsid w:val="00B02DD7"/>
    <w:rsid w:val="00B21D27"/>
    <w:rsid w:val="00B26801"/>
    <w:rsid w:val="00B27AFC"/>
    <w:rsid w:val="00B46875"/>
    <w:rsid w:val="00B51A9F"/>
    <w:rsid w:val="00B552E6"/>
    <w:rsid w:val="00B57FAC"/>
    <w:rsid w:val="00B6757B"/>
    <w:rsid w:val="00B90B48"/>
    <w:rsid w:val="00B9533E"/>
    <w:rsid w:val="00BA67EB"/>
    <w:rsid w:val="00BC2274"/>
    <w:rsid w:val="00BC7F1A"/>
    <w:rsid w:val="00BD5265"/>
    <w:rsid w:val="00BE3D8E"/>
    <w:rsid w:val="00BF02B7"/>
    <w:rsid w:val="00C0026E"/>
    <w:rsid w:val="00C23908"/>
    <w:rsid w:val="00C315CD"/>
    <w:rsid w:val="00C325CA"/>
    <w:rsid w:val="00C328C5"/>
    <w:rsid w:val="00C34807"/>
    <w:rsid w:val="00C3566D"/>
    <w:rsid w:val="00C379EA"/>
    <w:rsid w:val="00C4212D"/>
    <w:rsid w:val="00C43769"/>
    <w:rsid w:val="00C75124"/>
    <w:rsid w:val="00CB4943"/>
    <w:rsid w:val="00CD4EB8"/>
    <w:rsid w:val="00CD6791"/>
    <w:rsid w:val="00CD6D2F"/>
    <w:rsid w:val="00CE37C9"/>
    <w:rsid w:val="00CF3CEC"/>
    <w:rsid w:val="00D0021B"/>
    <w:rsid w:val="00D040F5"/>
    <w:rsid w:val="00D501FD"/>
    <w:rsid w:val="00D87E1F"/>
    <w:rsid w:val="00D93FD0"/>
    <w:rsid w:val="00DA3EB9"/>
    <w:rsid w:val="00DB51BC"/>
    <w:rsid w:val="00DC512F"/>
    <w:rsid w:val="00DF5C87"/>
    <w:rsid w:val="00E06DA9"/>
    <w:rsid w:val="00E41A6B"/>
    <w:rsid w:val="00E84F21"/>
    <w:rsid w:val="00EA0CFB"/>
    <w:rsid w:val="00EB2CCC"/>
    <w:rsid w:val="00EC21F0"/>
    <w:rsid w:val="00EE3024"/>
    <w:rsid w:val="00EE56CD"/>
    <w:rsid w:val="00EE7D99"/>
    <w:rsid w:val="00EF4A39"/>
    <w:rsid w:val="00F168E4"/>
    <w:rsid w:val="00F24A30"/>
    <w:rsid w:val="00F62390"/>
    <w:rsid w:val="00F67649"/>
    <w:rsid w:val="00FA1953"/>
    <w:rsid w:val="00FA6B93"/>
    <w:rsid w:val="00FD1BFE"/>
    <w:rsid w:val="00FE561A"/>
    <w:rsid w:val="016A572C"/>
    <w:rsid w:val="017D4F5C"/>
    <w:rsid w:val="01CA567F"/>
    <w:rsid w:val="035717DD"/>
    <w:rsid w:val="03845141"/>
    <w:rsid w:val="03D437CF"/>
    <w:rsid w:val="041318DF"/>
    <w:rsid w:val="047731B7"/>
    <w:rsid w:val="058A1596"/>
    <w:rsid w:val="05A21435"/>
    <w:rsid w:val="05A439F7"/>
    <w:rsid w:val="05F008F8"/>
    <w:rsid w:val="063C4EDB"/>
    <w:rsid w:val="06F31F42"/>
    <w:rsid w:val="06FF01EB"/>
    <w:rsid w:val="07323527"/>
    <w:rsid w:val="07BA233A"/>
    <w:rsid w:val="07D418CF"/>
    <w:rsid w:val="08B17BE1"/>
    <w:rsid w:val="09651679"/>
    <w:rsid w:val="096C5132"/>
    <w:rsid w:val="097768B4"/>
    <w:rsid w:val="09BA2217"/>
    <w:rsid w:val="09BA4874"/>
    <w:rsid w:val="09E524D5"/>
    <w:rsid w:val="0A0A2FE0"/>
    <w:rsid w:val="0A4665EE"/>
    <w:rsid w:val="0AE207D2"/>
    <w:rsid w:val="0B0D7A2E"/>
    <w:rsid w:val="0B116AB1"/>
    <w:rsid w:val="0BBE689D"/>
    <w:rsid w:val="0BCC2E1C"/>
    <w:rsid w:val="0BD643AC"/>
    <w:rsid w:val="0BFE1F3B"/>
    <w:rsid w:val="0C5937C9"/>
    <w:rsid w:val="0C887AAF"/>
    <w:rsid w:val="0C913A22"/>
    <w:rsid w:val="0CE57E5A"/>
    <w:rsid w:val="0D754330"/>
    <w:rsid w:val="0D8A6E42"/>
    <w:rsid w:val="0D8D06FC"/>
    <w:rsid w:val="0E2A7FB7"/>
    <w:rsid w:val="0E7A619C"/>
    <w:rsid w:val="0EAD0DEC"/>
    <w:rsid w:val="0EB73FAF"/>
    <w:rsid w:val="0F7A6F7F"/>
    <w:rsid w:val="0FD7695A"/>
    <w:rsid w:val="0FDC12C2"/>
    <w:rsid w:val="10212435"/>
    <w:rsid w:val="10B24814"/>
    <w:rsid w:val="10D17073"/>
    <w:rsid w:val="11C26472"/>
    <w:rsid w:val="12C50511"/>
    <w:rsid w:val="12D16541"/>
    <w:rsid w:val="12D656BD"/>
    <w:rsid w:val="13332052"/>
    <w:rsid w:val="13AF2F6F"/>
    <w:rsid w:val="13D12EE6"/>
    <w:rsid w:val="13DD7190"/>
    <w:rsid w:val="14651265"/>
    <w:rsid w:val="14917812"/>
    <w:rsid w:val="14A77794"/>
    <w:rsid w:val="1540615D"/>
    <w:rsid w:val="15771C05"/>
    <w:rsid w:val="15E4717D"/>
    <w:rsid w:val="1608448E"/>
    <w:rsid w:val="160C3484"/>
    <w:rsid w:val="16212E68"/>
    <w:rsid w:val="166260AA"/>
    <w:rsid w:val="16C93A2E"/>
    <w:rsid w:val="173A5B27"/>
    <w:rsid w:val="17910FB7"/>
    <w:rsid w:val="18180F87"/>
    <w:rsid w:val="18262B63"/>
    <w:rsid w:val="182A2B9A"/>
    <w:rsid w:val="1864257A"/>
    <w:rsid w:val="1881238F"/>
    <w:rsid w:val="18B4149E"/>
    <w:rsid w:val="195E3AFB"/>
    <w:rsid w:val="1A6C007C"/>
    <w:rsid w:val="1AF67D70"/>
    <w:rsid w:val="1B6528EA"/>
    <w:rsid w:val="1B9F5150"/>
    <w:rsid w:val="1BCC1558"/>
    <w:rsid w:val="1C495037"/>
    <w:rsid w:val="1CA328DE"/>
    <w:rsid w:val="1CA768A9"/>
    <w:rsid w:val="1DA819EC"/>
    <w:rsid w:val="1DE87ED1"/>
    <w:rsid w:val="1E12775E"/>
    <w:rsid w:val="1E3E3CE9"/>
    <w:rsid w:val="1E4700F1"/>
    <w:rsid w:val="1E703A75"/>
    <w:rsid w:val="1ED22F13"/>
    <w:rsid w:val="1EFA3A95"/>
    <w:rsid w:val="1F80658A"/>
    <w:rsid w:val="207D4553"/>
    <w:rsid w:val="209152CB"/>
    <w:rsid w:val="20AA51EA"/>
    <w:rsid w:val="21325E28"/>
    <w:rsid w:val="21761393"/>
    <w:rsid w:val="219D08AB"/>
    <w:rsid w:val="21A623F6"/>
    <w:rsid w:val="22A536C9"/>
    <w:rsid w:val="231C3BFA"/>
    <w:rsid w:val="23D47271"/>
    <w:rsid w:val="23E77C07"/>
    <w:rsid w:val="24663344"/>
    <w:rsid w:val="2479738A"/>
    <w:rsid w:val="251874DD"/>
    <w:rsid w:val="252D6ACD"/>
    <w:rsid w:val="25656BD2"/>
    <w:rsid w:val="25987CD5"/>
    <w:rsid w:val="2662199D"/>
    <w:rsid w:val="268648DA"/>
    <w:rsid w:val="27005B64"/>
    <w:rsid w:val="27385B25"/>
    <w:rsid w:val="274C3423"/>
    <w:rsid w:val="27A73D70"/>
    <w:rsid w:val="27D767A4"/>
    <w:rsid w:val="27E66FAF"/>
    <w:rsid w:val="280C22E7"/>
    <w:rsid w:val="281E2746"/>
    <w:rsid w:val="2823265E"/>
    <w:rsid w:val="283A4CC6"/>
    <w:rsid w:val="284B5813"/>
    <w:rsid w:val="28571E8D"/>
    <w:rsid w:val="29C6670B"/>
    <w:rsid w:val="29CC76DC"/>
    <w:rsid w:val="29D530A8"/>
    <w:rsid w:val="2A007C29"/>
    <w:rsid w:val="2A7515B2"/>
    <w:rsid w:val="2AF57251"/>
    <w:rsid w:val="2B603EB9"/>
    <w:rsid w:val="2BBA0E3D"/>
    <w:rsid w:val="2C0762C3"/>
    <w:rsid w:val="2C4473AA"/>
    <w:rsid w:val="2CBB39BA"/>
    <w:rsid w:val="2CBC6D61"/>
    <w:rsid w:val="2D597D7C"/>
    <w:rsid w:val="2D5E51C6"/>
    <w:rsid w:val="2D735AF8"/>
    <w:rsid w:val="2F045B74"/>
    <w:rsid w:val="2F081E98"/>
    <w:rsid w:val="2F0E7D4A"/>
    <w:rsid w:val="2F6A2156"/>
    <w:rsid w:val="30071BB9"/>
    <w:rsid w:val="30073ABF"/>
    <w:rsid w:val="304B7E61"/>
    <w:rsid w:val="305056B4"/>
    <w:rsid w:val="31087406"/>
    <w:rsid w:val="31712DE4"/>
    <w:rsid w:val="320F30FF"/>
    <w:rsid w:val="32766C58"/>
    <w:rsid w:val="327C7D6C"/>
    <w:rsid w:val="32CE2747"/>
    <w:rsid w:val="33694A91"/>
    <w:rsid w:val="341C63B2"/>
    <w:rsid w:val="34821027"/>
    <w:rsid w:val="352603B9"/>
    <w:rsid w:val="35934398"/>
    <w:rsid w:val="35E01C4F"/>
    <w:rsid w:val="36033C37"/>
    <w:rsid w:val="37697731"/>
    <w:rsid w:val="37742E36"/>
    <w:rsid w:val="377C0D35"/>
    <w:rsid w:val="378F705B"/>
    <w:rsid w:val="384D002F"/>
    <w:rsid w:val="38CC761F"/>
    <w:rsid w:val="3914549F"/>
    <w:rsid w:val="3A9943CC"/>
    <w:rsid w:val="3AC032D9"/>
    <w:rsid w:val="3B562CD8"/>
    <w:rsid w:val="3BB41EBF"/>
    <w:rsid w:val="3C2A227C"/>
    <w:rsid w:val="3C720E5A"/>
    <w:rsid w:val="3CA07027"/>
    <w:rsid w:val="3CB810F1"/>
    <w:rsid w:val="3D3F4EC9"/>
    <w:rsid w:val="3DDE3E77"/>
    <w:rsid w:val="3DF53C7A"/>
    <w:rsid w:val="3E5D4B55"/>
    <w:rsid w:val="3F8F4DA9"/>
    <w:rsid w:val="3F927A88"/>
    <w:rsid w:val="3FB2410A"/>
    <w:rsid w:val="402624A4"/>
    <w:rsid w:val="406169CE"/>
    <w:rsid w:val="40CC1C61"/>
    <w:rsid w:val="41355778"/>
    <w:rsid w:val="41452699"/>
    <w:rsid w:val="41CE239E"/>
    <w:rsid w:val="41D57222"/>
    <w:rsid w:val="41FC6117"/>
    <w:rsid w:val="421A3CA5"/>
    <w:rsid w:val="42566381"/>
    <w:rsid w:val="42B02C5A"/>
    <w:rsid w:val="42C13218"/>
    <w:rsid w:val="434D4404"/>
    <w:rsid w:val="43684060"/>
    <w:rsid w:val="437063BD"/>
    <w:rsid w:val="439F2447"/>
    <w:rsid w:val="44612EC8"/>
    <w:rsid w:val="44BA311D"/>
    <w:rsid w:val="44EA5535"/>
    <w:rsid w:val="44FA3D54"/>
    <w:rsid w:val="45140902"/>
    <w:rsid w:val="465F1B0D"/>
    <w:rsid w:val="468C79FE"/>
    <w:rsid w:val="46EA7FB8"/>
    <w:rsid w:val="46ED3F12"/>
    <w:rsid w:val="47574FE9"/>
    <w:rsid w:val="47A83996"/>
    <w:rsid w:val="47F14C66"/>
    <w:rsid w:val="48152755"/>
    <w:rsid w:val="482E1A5D"/>
    <w:rsid w:val="486A6E89"/>
    <w:rsid w:val="48D52301"/>
    <w:rsid w:val="49CE581A"/>
    <w:rsid w:val="4A2B55B2"/>
    <w:rsid w:val="4A935002"/>
    <w:rsid w:val="4AE668F2"/>
    <w:rsid w:val="4AF0190F"/>
    <w:rsid w:val="4B541E84"/>
    <w:rsid w:val="4B557D98"/>
    <w:rsid w:val="4BA163AB"/>
    <w:rsid w:val="4BFB3E08"/>
    <w:rsid w:val="4C1A1A40"/>
    <w:rsid w:val="4C522DBA"/>
    <w:rsid w:val="4C7B002F"/>
    <w:rsid w:val="4D875E11"/>
    <w:rsid w:val="4E651C38"/>
    <w:rsid w:val="4EC04691"/>
    <w:rsid w:val="4EDD3B7B"/>
    <w:rsid w:val="4EF56421"/>
    <w:rsid w:val="4EF6220D"/>
    <w:rsid w:val="4F490BD8"/>
    <w:rsid w:val="4F4D1BAE"/>
    <w:rsid w:val="4F5301FA"/>
    <w:rsid w:val="4F894FED"/>
    <w:rsid w:val="4FD55C1A"/>
    <w:rsid w:val="50016A29"/>
    <w:rsid w:val="50285660"/>
    <w:rsid w:val="50AD73F8"/>
    <w:rsid w:val="50CC6933"/>
    <w:rsid w:val="50CE795B"/>
    <w:rsid w:val="512247A5"/>
    <w:rsid w:val="51784F94"/>
    <w:rsid w:val="51A120AD"/>
    <w:rsid w:val="51B61E2C"/>
    <w:rsid w:val="51F162B1"/>
    <w:rsid w:val="52FA39CA"/>
    <w:rsid w:val="539523E0"/>
    <w:rsid w:val="539F2091"/>
    <w:rsid w:val="53FD2A25"/>
    <w:rsid w:val="540533F4"/>
    <w:rsid w:val="542E4542"/>
    <w:rsid w:val="566C7030"/>
    <w:rsid w:val="56CD5717"/>
    <w:rsid w:val="57016C0B"/>
    <w:rsid w:val="573833DD"/>
    <w:rsid w:val="57465412"/>
    <w:rsid w:val="574D3569"/>
    <w:rsid w:val="57F03885"/>
    <w:rsid w:val="57FA4F69"/>
    <w:rsid w:val="58063260"/>
    <w:rsid w:val="581F65B8"/>
    <w:rsid w:val="5886386C"/>
    <w:rsid w:val="58DA14CB"/>
    <w:rsid w:val="59617B7F"/>
    <w:rsid w:val="5A2834A3"/>
    <w:rsid w:val="5AEB5017"/>
    <w:rsid w:val="5B434A6C"/>
    <w:rsid w:val="5B7E54D0"/>
    <w:rsid w:val="5B867B70"/>
    <w:rsid w:val="5BB95D06"/>
    <w:rsid w:val="5C351D9E"/>
    <w:rsid w:val="5C720816"/>
    <w:rsid w:val="5C864206"/>
    <w:rsid w:val="5CBA52C6"/>
    <w:rsid w:val="5CE50961"/>
    <w:rsid w:val="5CEB799E"/>
    <w:rsid w:val="5D0422B7"/>
    <w:rsid w:val="5D5418FE"/>
    <w:rsid w:val="5D616F47"/>
    <w:rsid w:val="5DB01C92"/>
    <w:rsid w:val="5E0F1C0D"/>
    <w:rsid w:val="5F4D4B9C"/>
    <w:rsid w:val="5F4E49B7"/>
    <w:rsid w:val="5F611801"/>
    <w:rsid w:val="603E6557"/>
    <w:rsid w:val="604C600A"/>
    <w:rsid w:val="607D5554"/>
    <w:rsid w:val="608D3EAD"/>
    <w:rsid w:val="60DD4ADD"/>
    <w:rsid w:val="613E25F2"/>
    <w:rsid w:val="622B4C91"/>
    <w:rsid w:val="62F23F48"/>
    <w:rsid w:val="63510838"/>
    <w:rsid w:val="63C354D5"/>
    <w:rsid w:val="642755F6"/>
    <w:rsid w:val="648634AE"/>
    <w:rsid w:val="64940A76"/>
    <w:rsid w:val="656E6F7B"/>
    <w:rsid w:val="658E49B5"/>
    <w:rsid w:val="65B86392"/>
    <w:rsid w:val="65E30BA0"/>
    <w:rsid w:val="66C43D65"/>
    <w:rsid w:val="66C84D52"/>
    <w:rsid w:val="66E75F26"/>
    <w:rsid w:val="67AA14E7"/>
    <w:rsid w:val="680114FA"/>
    <w:rsid w:val="686A0195"/>
    <w:rsid w:val="68E65B72"/>
    <w:rsid w:val="692549DB"/>
    <w:rsid w:val="699F5D4E"/>
    <w:rsid w:val="69E34B59"/>
    <w:rsid w:val="6A184540"/>
    <w:rsid w:val="6AF02542"/>
    <w:rsid w:val="6AF162E4"/>
    <w:rsid w:val="6B5957AC"/>
    <w:rsid w:val="6BAE5E82"/>
    <w:rsid w:val="6C055242"/>
    <w:rsid w:val="6D2F7442"/>
    <w:rsid w:val="6D4B0270"/>
    <w:rsid w:val="6D667AA2"/>
    <w:rsid w:val="6D6D3A98"/>
    <w:rsid w:val="6DD32C57"/>
    <w:rsid w:val="6E2A034D"/>
    <w:rsid w:val="6E523E06"/>
    <w:rsid w:val="6E884C8D"/>
    <w:rsid w:val="6EA9237A"/>
    <w:rsid w:val="6ED95A2E"/>
    <w:rsid w:val="6EE43F23"/>
    <w:rsid w:val="6EFF0B89"/>
    <w:rsid w:val="6F891D3B"/>
    <w:rsid w:val="6FB57722"/>
    <w:rsid w:val="6FEF34CF"/>
    <w:rsid w:val="70456617"/>
    <w:rsid w:val="709C6A9F"/>
    <w:rsid w:val="71174183"/>
    <w:rsid w:val="71211CA2"/>
    <w:rsid w:val="71276DDD"/>
    <w:rsid w:val="719B485C"/>
    <w:rsid w:val="71FC4543"/>
    <w:rsid w:val="72BB015E"/>
    <w:rsid w:val="72ED37E8"/>
    <w:rsid w:val="72EF6C77"/>
    <w:rsid w:val="73F521F8"/>
    <w:rsid w:val="74411BD6"/>
    <w:rsid w:val="74A12B0A"/>
    <w:rsid w:val="751E2B9B"/>
    <w:rsid w:val="75226DE9"/>
    <w:rsid w:val="754D1541"/>
    <w:rsid w:val="754E7950"/>
    <w:rsid w:val="76C8461F"/>
    <w:rsid w:val="77C11D73"/>
    <w:rsid w:val="781F15A1"/>
    <w:rsid w:val="788A2AAC"/>
    <w:rsid w:val="78CB5034"/>
    <w:rsid w:val="78FB4C9F"/>
    <w:rsid w:val="79345B86"/>
    <w:rsid w:val="793F74E6"/>
    <w:rsid w:val="79A436FA"/>
    <w:rsid w:val="7A580D51"/>
    <w:rsid w:val="7B233C2A"/>
    <w:rsid w:val="7B565FE8"/>
    <w:rsid w:val="7B6E0463"/>
    <w:rsid w:val="7C15268D"/>
    <w:rsid w:val="7C1E3C37"/>
    <w:rsid w:val="7C7E6484"/>
    <w:rsid w:val="7D2C4132"/>
    <w:rsid w:val="7D3F16A3"/>
    <w:rsid w:val="7D5E3D5B"/>
    <w:rsid w:val="7D6D243D"/>
    <w:rsid w:val="7DA06CAF"/>
    <w:rsid w:val="7DDF24AC"/>
    <w:rsid w:val="7E0E6347"/>
    <w:rsid w:val="7E35374E"/>
    <w:rsid w:val="7E4D1D66"/>
    <w:rsid w:val="7E6F3658"/>
    <w:rsid w:val="7E776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0"/>
    <w:pPr>
      <w:spacing w:before="12"/>
      <w:ind w:left="445" w:right="543" w:hanging="2691"/>
      <w:outlineLvl w:val="0"/>
    </w:pPr>
    <w:rPr>
      <w:b/>
      <w:bCs/>
      <w:sz w:val="63"/>
      <w:szCs w:val="63"/>
    </w:rPr>
  </w:style>
  <w:style w:type="paragraph" w:styleId="4">
    <w:name w:val="heading 2"/>
    <w:basedOn w:val="1"/>
    <w:next w:val="1"/>
    <w:qFormat/>
    <w:uiPriority w:val="0"/>
    <w:pPr>
      <w:ind w:right="94"/>
      <w:jc w:val="center"/>
      <w:outlineLvl w:val="1"/>
    </w:pPr>
    <w:rPr>
      <w:b/>
      <w:bCs/>
      <w:sz w:val="44"/>
      <w:szCs w:val="44"/>
    </w:rPr>
  </w:style>
  <w:style w:type="paragraph" w:styleId="5">
    <w:name w:val="heading 4"/>
    <w:basedOn w:val="1"/>
    <w:next w:val="1"/>
    <w:semiHidden/>
    <w:unhideWhenUsed/>
    <w:qFormat/>
    <w:uiPriority w:val="0"/>
    <w:pPr>
      <w:spacing w:beforeAutospacing="1" w:afterAutospacing="1"/>
      <w:outlineLvl w:val="3"/>
    </w:pPr>
    <w:rPr>
      <w:rFonts w:hint="eastAsia" w:cs="Times New Roman"/>
      <w:b/>
      <w:bCs/>
      <w:sz w:val="24"/>
      <w:szCs w:val="24"/>
      <w:lang w:val="en-US" w:bidi="ar-SA"/>
    </w:rPr>
  </w:style>
  <w:style w:type="paragraph" w:styleId="6">
    <w:name w:val="heading 5"/>
    <w:basedOn w:val="1"/>
    <w:next w:val="1"/>
    <w:qFormat/>
    <w:uiPriority w:val="1"/>
    <w:pPr>
      <w:ind w:left="358"/>
      <w:outlineLvl w:val="4"/>
    </w:pPr>
    <w:rPr>
      <w:b/>
      <w:bCs/>
      <w:sz w:val="21"/>
      <w:szCs w:val="21"/>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7">
    <w:name w:val="annotation text"/>
    <w:basedOn w:val="1"/>
    <w:autoRedefine/>
    <w:qFormat/>
    <w:uiPriority w:val="0"/>
  </w:style>
  <w:style w:type="paragraph" w:styleId="8">
    <w:name w:val="Body Text"/>
    <w:basedOn w:val="1"/>
    <w:next w:val="9"/>
    <w:qFormat/>
    <w:uiPriority w:val="0"/>
    <w:rPr>
      <w:sz w:val="21"/>
      <w:szCs w:val="21"/>
    </w:rPr>
  </w:style>
  <w:style w:type="paragraph" w:styleId="9">
    <w:name w:val="Body Text 2"/>
    <w:basedOn w:val="10"/>
    <w:qFormat/>
    <w:uiPriority w:val="0"/>
    <w:rPr>
      <w:rFonts w:ascii="Times New Roman" w:hAnsi="Times New Roman" w:eastAsia="宋体"/>
    </w:rPr>
  </w:style>
  <w:style w:type="paragraph" w:customStyle="1" w:styleId="10">
    <w:name w:val="正文_2_1"/>
    <w:qFormat/>
    <w:uiPriority w:val="0"/>
    <w:pPr>
      <w:widowControl w:val="0"/>
      <w:jc w:val="both"/>
    </w:pPr>
    <w:rPr>
      <w:rFonts w:ascii="等线" w:hAnsi="等线" w:eastAsia="等线" w:cs="Times New Roman"/>
      <w:kern w:val="2"/>
      <w:sz w:val="21"/>
      <w:szCs w:val="22"/>
      <w:lang w:val="en-US" w:eastAsia="zh-CN" w:bidi="ar-SA"/>
    </w:rPr>
  </w:style>
  <w:style w:type="paragraph" w:styleId="11">
    <w:name w:val="Plain Text"/>
    <w:basedOn w:val="1"/>
    <w:next w:val="1"/>
    <w:autoRedefine/>
    <w:qFormat/>
    <w:uiPriority w:val="0"/>
    <w:rPr>
      <w:rFonts w:hAnsi="Courier New"/>
      <w:kern w:val="2"/>
      <w:sz w:val="21"/>
      <w:lang w:val="en-US" w:bidi="ar-SA"/>
    </w:rPr>
  </w:style>
  <w:style w:type="paragraph" w:styleId="12">
    <w:name w:val="endnote text"/>
    <w:basedOn w:val="1"/>
    <w:qFormat/>
    <w:uiPriority w:val="0"/>
    <w:pPr>
      <w:snapToGrid w:val="0"/>
    </w:pPr>
    <w:rPr>
      <w:sz w:val="18"/>
      <w:szCs w:val="18"/>
    </w:rPr>
  </w:style>
  <w:style w:type="paragraph" w:styleId="13">
    <w:name w:val="Balloon Text"/>
    <w:basedOn w:val="1"/>
    <w:link w:val="52"/>
    <w:uiPriority w:val="0"/>
    <w:rPr>
      <w:sz w:val="18"/>
      <w:szCs w:val="18"/>
    </w:rPr>
  </w:style>
  <w:style w:type="paragraph" w:styleId="14">
    <w:name w:val="footer"/>
    <w:basedOn w:val="1"/>
    <w:autoRedefine/>
    <w:qFormat/>
    <w:uiPriority w:val="0"/>
    <w:pPr>
      <w:tabs>
        <w:tab w:val="center" w:pos="4153"/>
        <w:tab w:val="right" w:pos="8306"/>
      </w:tabs>
      <w:snapToGrid w:val="0"/>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Normal (Web)"/>
    <w:basedOn w:val="1"/>
    <w:autoRedefine/>
    <w:qFormat/>
    <w:uiPriority w:val="0"/>
    <w:pPr>
      <w:autoSpaceDE/>
      <w:autoSpaceDN/>
      <w:jc w:val="both"/>
    </w:pPr>
    <w:rPr>
      <w:rFonts w:ascii="Times New Roman" w:hAnsi="Times New Roman" w:cs="Times New Roman"/>
      <w:kern w:val="2"/>
      <w:sz w:val="24"/>
      <w:szCs w:val="24"/>
      <w:lang w:val="en-US" w:bidi="ar-SA"/>
    </w:rPr>
  </w:style>
  <w:style w:type="paragraph" w:styleId="17">
    <w:name w:val="Body Text First Indent"/>
    <w:basedOn w:val="8"/>
    <w:qFormat/>
    <w:uiPriority w:val="0"/>
    <w:pPr>
      <w:ind w:firstLine="420" w:firstLineChars="100"/>
    </w:pPr>
    <w:rPr>
      <w:rFonts w:ascii="Times New Roman" w:hAnsi="Times New Roman"/>
      <w:szCs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Emphasis"/>
    <w:basedOn w:val="20"/>
    <w:qFormat/>
    <w:uiPriority w:val="0"/>
    <w:rPr>
      <w:i/>
    </w:rPr>
  </w:style>
  <w:style w:type="paragraph" w:customStyle="1" w:styleId="23">
    <w:name w:val="Default"/>
    <w:link w:val="53"/>
    <w:autoRedefine/>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4">
    <w:name w:val="Table Paragraph"/>
    <w:basedOn w:val="1"/>
    <w:qFormat/>
    <w:uiPriority w:val="1"/>
  </w:style>
  <w:style w:type="paragraph" w:customStyle="1" w:styleId="25">
    <w:name w:val="p0"/>
    <w:basedOn w:val="1"/>
    <w:qFormat/>
    <w:uiPriority w:val="0"/>
    <w:pPr>
      <w:widowControl/>
    </w:pPr>
    <w:rPr>
      <w:szCs w:val="21"/>
    </w:rPr>
  </w:style>
  <w:style w:type="paragraph" w:customStyle="1" w:styleId="26">
    <w:name w:val="样式 小四 段前: 5 磅 段后: 5 磅 首行缩进:  2 字符"/>
    <w:basedOn w:val="1"/>
    <w:autoRedefine/>
    <w:qFormat/>
    <w:uiPriority w:val="0"/>
    <w:pPr>
      <w:autoSpaceDE/>
      <w:autoSpaceDN/>
      <w:spacing w:line="0" w:lineRule="atLeast"/>
      <w:jc w:val="center"/>
    </w:pPr>
    <w:rPr>
      <w:rFonts w:cs="Times New Roman"/>
      <w:kern w:val="2"/>
      <w:sz w:val="21"/>
      <w:szCs w:val="21"/>
      <w:lang w:val="en-US" w:bidi="ar-SA"/>
    </w:rPr>
  </w:style>
  <w:style w:type="paragraph" w:customStyle="1" w:styleId="27">
    <w:name w:val="正文_0"/>
    <w:basedOn w:val="28"/>
    <w:next w:val="33"/>
    <w:autoRedefine/>
    <w:qFormat/>
    <w:uiPriority w:val="99"/>
    <w:rPr>
      <w:rFonts w:ascii="Times New Roman" w:hAnsi="Times New Roman" w:eastAsia="宋体" w:cs="Times New Roman"/>
      <w:szCs w:val="22"/>
    </w:rPr>
  </w:style>
  <w:style w:type="paragraph" w:customStyle="1" w:styleId="28">
    <w:name w:val="正文_1"/>
    <w:basedOn w:val="29"/>
    <w:next w:val="39"/>
    <w:qFormat/>
    <w:uiPriority w:val="0"/>
    <w:rPr>
      <w:rFonts w:eastAsiaTheme="minorEastAsia"/>
    </w:rPr>
  </w:style>
  <w:style w:type="paragraph" w:customStyle="1" w:styleId="29">
    <w:name w:val="正文_2"/>
    <w:basedOn w:val="30"/>
    <w:next w:val="37"/>
    <w:autoRedefine/>
    <w:qFormat/>
    <w:uiPriority w:val="0"/>
    <w:rPr>
      <w:rFonts w:cs="宋体"/>
      <w:szCs w:val="21"/>
    </w:rPr>
  </w:style>
  <w:style w:type="paragraph" w:customStyle="1" w:styleId="30">
    <w:name w:val="正文_3"/>
    <w:basedOn w:val="31"/>
    <w:next w:val="36"/>
    <w:qFormat/>
    <w:uiPriority w:val="0"/>
    <w:rPr>
      <w:rFonts w:ascii="Calibri" w:hAnsi="Calibri"/>
      <w:szCs w:val="24"/>
    </w:rPr>
  </w:style>
  <w:style w:type="paragraph" w:customStyle="1" w:styleId="31">
    <w:name w:val="正文_4"/>
    <w:basedOn w:val="32"/>
    <w:next w:val="35"/>
    <w:qFormat/>
    <w:uiPriority w:val="0"/>
    <w:rPr>
      <w:rFonts w:ascii="Times New Roman" w:hAnsi="Times New Roman" w:cs="Times New Roman"/>
      <w:kern w:val="2"/>
      <w:sz w:val="21"/>
      <w:szCs w:val="21"/>
    </w:rPr>
  </w:style>
  <w:style w:type="paragraph" w:customStyle="1" w:styleId="32">
    <w:name w:val="正文_5"/>
    <w:next w:val="33"/>
    <w:qFormat/>
    <w:uiPriority w:val="0"/>
    <w:pPr>
      <w:widowControl w:val="0"/>
      <w:jc w:val="both"/>
    </w:pPr>
    <w:rPr>
      <w:rFonts w:ascii="宋体" w:hAnsi="宋体" w:eastAsia="宋体" w:cs="宋体"/>
      <w:sz w:val="34"/>
      <w:szCs w:val="34"/>
      <w:lang w:val="en-US" w:eastAsia="zh-CN" w:bidi="ar-SA"/>
    </w:rPr>
  </w:style>
  <w:style w:type="paragraph" w:customStyle="1" w:styleId="33">
    <w:name w:val="正文首行缩进_0"/>
    <w:basedOn w:val="34"/>
    <w:autoRedefine/>
    <w:unhideWhenUsed/>
    <w:qFormat/>
    <w:uiPriority w:val="0"/>
    <w:pPr>
      <w:ind w:firstLine="420" w:firstLineChars="100"/>
    </w:pPr>
  </w:style>
  <w:style w:type="paragraph" w:customStyle="1" w:styleId="34">
    <w:name w:val="正文文本_0_0"/>
    <w:basedOn w:val="10"/>
    <w:next w:val="9"/>
    <w:autoRedefine/>
    <w:qFormat/>
    <w:uiPriority w:val="0"/>
    <w:pPr>
      <w:spacing w:before="100" w:beforeAutospacing="1" w:after="120"/>
    </w:pPr>
    <w:rPr>
      <w:rFonts w:ascii="Times New Roman" w:hAnsi="Times New Roman" w:eastAsia="宋体"/>
      <w:kern w:val="0"/>
      <w:sz w:val="20"/>
      <w:szCs w:val="20"/>
    </w:rPr>
  </w:style>
  <w:style w:type="paragraph" w:customStyle="1" w:styleId="35">
    <w:name w:val="正文首行缩进_0_0"/>
    <w:basedOn w:val="34"/>
    <w:qFormat/>
    <w:uiPriority w:val="0"/>
    <w:pPr>
      <w:ind w:firstLine="420" w:firstLineChars="100"/>
    </w:pPr>
  </w:style>
  <w:style w:type="paragraph" w:customStyle="1" w:styleId="36">
    <w:name w:val="正文首行缩进_0_0_0"/>
    <w:basedOn w:val="31"/>
    <w:qFormat/>
    <w:uiPriority w:val="0"/>
    <w:rPr>
      <w:rFonts w:ascii="等线" w:hAnsi="等线" w:eastAsia="等线"/>
    </w:rPr>
  </w:style>
  <w:style w:type="paragraph" w:customStyle="1" w:styleId="37">
    <w:name w:val="正文文本_0"/>
    <w:basedOn w:val="38"/>
    <w:next w:val="9"/>
    <w:qFormat/>
    <w:uiPriority w:val="0"/>
    <w:pPr>
      <w:spacing w:before="100" w:beforeAutospacing="1" w:after="100" w:afterAutospacing="1"/>
    </w:pPr>
    <w:rPr>
      <w:rFonts w:ascii="等线" w:hAnsi="等线"/>
      <w:kern w:val="0"/>
      <w:sz w:val="20"/>
      <w:szCs w:val="20"/>
    </w:rPr>
  </w:style>
  <w:style w:type="paragraph" w:customStyle="1" w:styleId="38">
    <w:name w:val="正文_13"/>
    <w:next w:val="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39">
    <w:name w:val="表格文字_0"/>
    <w:basedOn w:val="40"/>
    <w:qFormat/>
    <w:uiPriority w:val="0"/>
    <w:pPr>
      <w:adjustRightInd w:val="0"/>
      <w:spacing w:line="420" w:lineRule="atLeast"/>
      <w:jc w:val="left"/>
    </w:pPr>
    <w:rPr>
      <w:kern w:val="0"/>
    </w:rPr>
  </w:style>
  <w:style w:type="paragraph" w:customStyle="1" w:styleId="40">
    <w:name w:val="正文_0_0_0"/>
    <w:basedOn w:val="27"/>
    <w:next w:val="37"/>
    <w:qFormat/>
    <w:uiPriority w:val="0"/>
    <w:rPr>
      <w:szCs w:val="24"/>
    </w:rPr>
  </w:style>
  <w:style w:type="paragraph" w:customStyle="1" w:styleId="41">
    <w:name w:val="正文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0_0"/>
    <w:next w:val="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列出段落1"/>
    <w:basedOn w:val="1"/>
    <w:qFormat/>
    <w:uiPriority w:val="1"/>
    <w:pPr>
      <w:ind w:left="358" w:hanging="530"/>
    </w:pPr>
  </w:style>
  <w:style w:type="paragraph" w:customStyle="1" w:styleId="44">
    <w:name w:val="WPSOffice手动目录 1"/>
    <w:qFormat/>
    <w:uiPriority w:val="0"/>
    <w:rPr>
      <w:rFonts w:asciiTheme="minorHAnsi" w:hAnsiTheme="minorHAnsi" w:eastAsiaTheme="minorEastAsia" w:cstheme="minorBidi"/>
      <w:lang w:val="en-US" w:eastAsia="zh-CN" w:bidi="ar-SA"/>
    </w:rPr>
  </w:style>
  <w:style w:type="paragraph" w:customStyle="1" w:styleId="45">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46">
    <w:name w:val="正文缩进_2"/>
    <w:basedOn w:val="47"/>
    <w:qFormat/>
    <w:uiPriority w:val="0"/>
    <w:pPr>
      <w:ind w:firstLine="420" w:firstLineChars="200"/>
    </w:pPr>
    <w:rPr>
      <w:szCs w:val="24"/>
    </w:rPr>
  </w:style>
  <w:style w:type="paragraph" w:customStyle="1" w:styleId="47">
    <w:name w:val="正文_6"/>
    <w:next w:val="4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8">
    <w:name w:val="p0_0"/>
    <w:basedOn w:val="49"/>
    <w:qFormat/>
    <w:uiPriority w:val="0"/>
    <w:pPr>
      <w:widowControl/>
    </w:pPr>
    <w:rPr>
      <w:kern w:val="0"/>
    </w:rPr>
  </w:style>
  <w:style w:type="paragraph" w:customStyle="1" w:styleId="49">
    <w:name w:val="正文_8"/>
    <w:next w:val="50"/>
    <w:qFormat/>
    <w:uiPriority w:val="0"/>
    <w:pPr>
      <w:widowControl w:val="0"/>
      <w:jc w:val="both"/>
    </w:pPr>
    <w:rPr>
      <w:rFonts w:ascii="等线" w:hAnsi="等线" w:eastAsia="等线" w:cs="Times New Roman"/>
      <w:kern w:val="2"/>
      <w:sz w:val="21"/>
      <w:szCs w:val="22"/>
      <w:lang w:val="en-US" w:eastAsia="zh-CN" w:bidi="ar-SA"/>
    </w:rPr>
  </w:style>
  <w:style w:type="paragraph" w:customStyle="1" w:styleId="50">
    <w:name w:val="正文首行缩进_2"/>
    <w:basedOn w:val="49"/>
    <w:qFormat/>
    <w:uiPriority w:val="0"/>
    <w:pPr>
      <w:ind w:firstLine="420" w:firstLineChars="100"/>
    </w:pPr>
  </w:style>
  <w:style w:type="paragraph" w:customStyle="1" w:styleId="51">
    <w:name w:val="Body text|1"/>
    <w:basedOn w:val="1"/>
    <w:qFormat/>
    <w:uiPriority w:val="0"/>
    <w:pPr>
      <w:spacing w:line="446" w:lineRule="auto"/>
      <w:ind w:firstLine="400"/>
    </w:pPr>
    <w:rPr>
      <w:u w:val="single"/>
      <w:lang w:val="zh-TW" w:eastAsia="zh-TW" w:bidi="zh-TW"/>
    </w:rPr>
  </w:style>
  <w:style w:type="character" w:customStyle="1" w:styleId="52">
    <w:name w:val="批注框文本 字符"/>
    <w:basedOn w:val="20"/>
    <w:link w:val="13"/>
    <w:uiPriority w:val="0"/>
    <w:rPr>
      <w:rFonts w:ascii="宋体" w:hAnsi="宋体" w:cs="宋体"/>
      <w:sz w:val="18"/>
      <w:szCs w:val="18"/>
      <w:lang w:val="zh-CN" w:bidi="zh-CN"/>
    </w:rPr>
  </w:style>
  <w:style w:type="character" w:customStyle="1" w:styleId="53">
    <w:name w:val="Default Char Char"/>
    <w:link w:val="23"/>
    <w:uiPriority w:val="0"/>
    <w:rPr>
      <w:rFonts w:ascii="宋体" w:hAnsi="宋体"/>
      <w:color w:val="000000"/>
      <w:sz w:val="24"/>
    </w:rPr>
  </w:style>
  <w:style w:type="paragraph" w:customStyle="1" w:styleId="54">
    <w:name w:val="修订1"/>
    <w:hidden/>
    <w:semiHidden/>
    <w:uiPriority w:val="99"/>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124</Pages>
  <Words>12548</Words>
  <Characters>71527</Characters>
  <Lines>596</Lines>
  <Paragraphs>167</Paragraphs>
  <TotalTime>2</TotalTime>
  <ScaleCrop>false</ScaleCrop>
  <LinksUpToDate>false</LinksUpToDate>
  <CharactersWithSpaces>83908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2024-02-01T09:48:00Z</dcterms:created>
  <dc:creator>SS</dc:creator>
  <cp:lastModifiedBy>peng</cp:lastModifiedBy>
  <cp:lastPrinted>2023-10-30T06:15:00Z</cp:lastPrinted>
  <dcterms:modified xsi:type="dcterms:W3CDTF">2024-02-02T07:04:33Z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D4B50241A66A4B6480708F4F94FEFF45_13</vt:lpwstr>
  </property>
</Properties>
</file>